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AD" w:rsidRDefault="002646A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Oppfinnelsen angår anvendelsen av et anti-CD20-antistoff som angitt i krav 1 for fremstilling av et medikament for opprettholdelsesterapi av lav-grads follikulært B-celle non-</w:t>
      </w:r>
      <w:proofErr w:type="spellStart"/>
      <w:r>
        <w:rPr>
          <w:rFonts w:ascii="Verdana" w:hAnsi="Verdana"/>
          <w:sz w:val="20"/>
        </w:rPr>
        <w:t>Hod</w:t>
      </w:r>
      <w:r w:rsidR="00F65559">
        <w:rPr>
          <w:rFonts w:ascii="Verdana" w:hAnsi="Verdana"/>
          <w:sz w:val="20"/>
        </w:rPr>
        <w:t>g</w:t>
      </w:r>
      <w:r>
        <w:rPr>
          <w:rFonts w:ascii="Verdana" w:hAnsi="Verdana"/>
          <w:sz w:val="20"/>
        </w:rPr>
        <w:t>kins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lymfomer</w:t>
      </w:r>
      <w:proofErr w:type="spellEnd"/>
      <w:r>
        <w:rPr>
          <w:rFonts w:ascii="Verdana" w:hAnsi="Verdana"/>
          <w:sz w:val="20"/>
        </w:rPr>
        <w:t xml:space="preserve"> i mennesker som på forhånd har mottatt en opprettholdelsesterapi (CVP) som angitt i krav 1.</w:t>
      </w:r>
    </w:p>
    <w:p w:rsidR="001003C4" w:rsidRPr="002646AD" w:rsidRDefault="001003C4">
      <w:pPr>
        <w:pStyle w:val="Overskrift1"/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Bakgrunn for oppfinnelsen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Anvendelsen av antistoff mot CD20-antigenet som diagnos</w:t>
      </w:r>
      <w:r w:rsidRPr="002646AD">
        <w:rPr>
          <w:rFonts w:ascii="Verdana" w:hAnsi="Verdana"/>
          <w:sz w:val="20"/>
        </w:rPr>
        <w:softHyphen/>
        <w:t>tiske og/eller terapeutiske midler for B-celle-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har tidligere blitt beskrevet.  CD20 er en anvendelig markør eller mål for B-celle-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ettersom dette antigen blir uttrykt ved meget høye tettheter på overflaten av ondartede B-celler, dvs. B-celler hvor uhindret proliferasjon kan føre til B-celle-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>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CD20 eller Bp35 er et B-</w:t>
      </w:r>
      <w:proofErr w:type="spellStart"/>
      <w:r w:rsidRPr="002646AD">
        <w:rPr>
          <w:rFonts w:ascii="Verdana" w:hAnsi="Verdana"/>
          <w:sz w:val="20"/>
        </w:rPr>
        <w:t>lymfosyttbegrenset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differensier</w:t>
      </w:r>
      <w:r w:rsidRPr="002646AD">
        <w:rPr>
          <w:rFonts w:ascii="Verdana" w:hAnsi="Verdana"/>
          <w:sz w:val="20"/>
        </w:rPr>
        <w:softHyphen/>
        <w:t>ingsantigen</w:t>
      </w:r>
      <w:proofErr w:type="spellEnd"/>
      <w:r w:rsidRPr="002646AD">
        <w:rPr>
          <w:rFonts w:ascii="Verdana" w:hAnsi="Verdana"/>
          <w:sz w:val="20"/>
        </w:rPr>
        <w:t xml:space="preserve"> som blir uttrykt i løpet av tidlig pre-B-celle-utvikling og forblir inntil plasmacelle-differensiering.  Det er antatt av enkelte at CD20-molekylet kan regulere et trinn i B-celle-aktiveringsprosessen som er nødvendig for cellesyklusigangsetting og differensiering.  Videre som be</w:t>
      </w:r>
      <w:r w:rsidRPr="002646AD">
        <w:rPr>
          <w:rFonts w:ascii="Verdana" w:hAnsi="Verdana"/>
          <w:sz w:val="20"/>
        </w:rPr>
        <w:softHyphen/>
        <w:t>merket blir CD20 vanligvis uttrykt ved meget høye nivåer på neoplastiske ("tumor")B-celler.  CD20-antigenet er tilta</w:t>
      </w:r>
      <w:r w:rsidRPr="002646AD">
        <w:rPr>
          <w:rFonts w:ascii="Verdana" w:hAnsi="Verdana"/>
          <w:sz w:val="20"/>
        </w:rPr>
        <w:softHyphen/>
        <w:t>lende for målrettet terapi fordi det ikke avstøtes, module</w:t>
      </w:r>
      <w:r w:rsidRPr="002646AD">
        <w:rPr>
          <w:rFonts w:ascii="Verdana" w:hAnsi="Verdana"/>
          <w:sz w:val="20"/>
        </w:rPr>
        <w:softHyphen/>
        <w:t>res eller internaliseres.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Tidligere rapporterte behandlinger som involverer anti-CD20-antistoff har omfattet administrasjonen av et tera</w:t>
      </w:r>
      <w:r w:rsidRPr="002646AD">
        <w:rPr>
          <w:rFonts w:ascii="Verdana" w:hAnsi="Verdana"/>
          <w:sz w:val="20"/>
        </w:rPr>
        <w:softHyphen/>
        <w:t>peutisk anti-CD20-antistoff enten alene eller i kombinasjon med andre radiomerkede anti-CD20-antistoff eller et kjemo</w:t>
      </w:r>
      <w:r w:rsidRPr="002646AD">
        <w:rPr>
          <w:rFonts w:ascii="Verdana" w:hAnsi="Verdana"/>
          <w:sz w:val="20"/>
        </w:rPr>
        <w:softHyphen/>
        <w:t>terapeutisk middel.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Faktisk har "</w:t>
      </w:r>
      <w:proofErr w:type="spellStart"/>
      <w:r w:rsidRPr="002646AD">
        <w:rPr>
          <w:rFonts w:ascii="Verdana" w:hAnsi="Verdana"/>
          <w:sz w:val="20"/>
        </w:rPr>
        <w:t>the</w:t>
      </w:r>
      <w:proofErr w:type="spellEnd"/>
      <w:r w:rsidRPr="002646AD">
        <w:rPr>
          <w:rFonts w:ascii="Verdana" w:hAnsi="Verdana"/>
          <w:sz w:val="20"/>
        </w:rPr>
        <w:t xml:space="preserve"> Food and </w:t>
      </w:r>
      <w:proofErr w:type="spellStart"/>
      <w:r w:rsidRPr="002646AD">
        <w:rPr>
          <w:rFonts w:ascii="Verdana" w:hAnsi="Verdana"/>
          <w:sz w:val="20"/>
        </w:rPr>
        <w:t>Drug</w:t>
      </w:r>
      <w:proofErr w:type="spellEnd"/>
      <w:r w:rsidRPr="002646AD">
        <w:rPr>
          <w:rFonts w:ascii="Verdana" w:hAnsi="Verdana"/>
          <w:sz w:val="20"/>
        </w:rPr>
        <w:t xml:space="preserve"> Administration" godkjent te</w:t>
      </w:r>
      <w:r w:rsidRPr="002646AD">
        <w:rPr>
          <w:rFonts w:ascii="Verdana" w:hAnsi="Verdana"/>
          <w:sz w:val="20"/>
        </w:rPr>
        <w:softHyphen/>
        <w:t xml:space="preserve">rapeutisk bruk av et slikt anti-CD20-antistoff, </w:t>
      </w:r>
      <w:proofErr w:type="spellStart"/>
      <w:r w:rsidRPr="002646AD">
        <w:rPr>
          <w:rFonts w:ascii="Verdana" w:hAnsi="Verdana"/>
          <w:sz w:val="20"/>
        </w:rPr>
        <w:t>Rituxan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for anvendelse i gjentatt og tidligere behandlet lavgrads non-</w:t>
      </w:r>
      <w:proofErr w:type="spellStart"/>
      <w:r w:rsidRPr="002646AD">
        <w:rPr>
          <w:rFonts w:ascii="Verdana" w:hAnsi="Verdana"/>
          <w:sz w:val="20"/>
        </w:rPr>
        <w:t>Hodgkins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(NHL).  I tillegg har bruken av </w:t>
      </w:r>
      <w:proofErr w:type="spellStart"/>
      <w:r w:rsidRPr="002646AD">
        <w:rPr>
          <w:rFonts w:ascii="Verdana" w:hAnsi="Verdana"/>
          <w:sz w:val="20"/>
        </w:rPr>
        <w:t>Ritu</w:t>
      </w:r>
      <w:r w:rsidRPr="002646AD">
        <w:rPr>
          <w:rFonts w:ascii="Verdana" w:hAnsi="Verdana"/>
          <w:sz w:val="20"/>
        </w:rPr>
        <w:softHyphen/>
        <w:t>xan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i kombinasjon med et </w:t>
      </w:r>
      <w:proofErr w:type="gramStart"/>
      <w:r w:rsidRPr="002646AD">
        <w:rPr>
          <w:rFonts w:ascii="Verdana" w:hAnsi="Verdana"/>
          <w:sz w:val="20"/>
        </w:rPr>
        <w:t>radiomerket</w:t>
      </w:r>
      <w:proofErr w:type="gram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murint</w:t>
      </w:r>
      <w:proofErr w:type="spellEnd"/>
      <w:r w:rsidRPr="002646AD">
        <w:rPr>
          <w:rFonts w:ascii="Verdana" w:hAnsi="Verdana"/>
          <w:sz w:val="20"/>
        </w:rPr>
        <w:t xml:space="preserve"> anti-CD20-antistoff blitt foreslått for behandling av B-celle-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>.</w:t>
      </w:r>
    </w:p>
    <w:p w:rsidR="002646AD" w:rsidRDefault="002646A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Det er fra US patent 5736137 kjent anvendelse av </w:t>
      </w:r>
      <w:proofErr w:type="spellStart"/>
      <w:r>
        <w:rPr>
          <w:rFonts w:ascii="Verdana" w:hAnsi="Verdana"/>
          <w:sz w:val="20"/>
        </w:rPr>
        <w:t>chimeriske</w:t>
      </w:r>
      <w:proofErr w:type="spellEnd"/>
      <w:r>
        <w:rPr>
          <w:rFonts w:ascii="Verdana" w:hAnsi="Verdana"/>
          <w:sz w:val="20"/>
        </w:rPr>
        <w:t xml:space="preserve"> og radiomerkede anti-CD20 antistoffer for behandling av B-celle-</w:t>
      </w:r>
      <w:proofErr w:type="spellStart"/>
      <w:r>
        <w:rPr>
          <w:rFonts w:ascii="Verdana" w:hAnsi="Verdana"/>
          <w:sz w:val="20"/>
        </w:rPr>
        <w:t>lymfom</w:t>
      </w:r>
      <w:proofErr w:type="spellEnd"/>
      <w:r>
        <w:rPr>
          <w:rFonts w:ascii="Verdana" w:hAnsi="Verdana"/>
          <w:sz w:val="20"/>
        </w:rPr>
        <w:t>.</w:t>
      </w:r>
    </w:p>
    <w:p w:rsidR="002646AD" w:rsidRDefault="002646A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Fra Jour. </w:t>
      </w:r>
      <w:proofErr w:type="spellStart"/>
      <w:r>
        <w:rPr>
          <w:rFonts w:ascii="Verdana" w:hAnsi="Verdana"/>
          <w:sz w:val="20"/>
        </w:rPr>
        <w:t>Of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Clinic</w:t>
      </w:r>
      <w:proofErr w:type="spellEnd"/>
      <w:r>
        <w:rPr>
          <w:rFonts w:ascii="Verdana" w:hAnsi="Verdana"/>
          <w:sz w:val="20"/>
        </w:rPr>
        <w:t xml:space="preserve">. </w:t>
      </w:r>
      <w:proofErr w:type="spellStart"/>
      <w:r w:rsidRPr="002646AD">
        <w:rPr>
          <w:rFonts w:ascii="Verdana" w:hAnsi="Verdana"/>
          <w:sz w:val="20"/>
        </w:rPr>
        <w:t>Oncol</w:t>
      </w:r>
      <w:proofErr w:type="spellEnd"/>
      <w:r w:rsidRPr="002646AD">
        <w:rPr>
          <w:rFonts w:ascii="Verdana" w:hAnsi="Verdana"/>
          <w:sz w:val="20"/>
        </w:rPr>
        <w:t xml:space="preserve">., 1997.10, Vol. 15, No. 10, s. 3266-74 (Maloney, D.G.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al.) er det kjent </w:t>
      </w:r>
      <w:r w:rsidR="00F65559">
        <w:rPr>
          <w:rFonts w:ascii="Verdana" w:hAnsi="Verdana"/>
          <w:sz w:val="20"/>
        </w:rPr>
        <w:t xml:space="preserve">behandling av </w:t>
      </w:r>
      <w:proofErr w:type="spellStart"/>
      <w:r w:rsidR="00F65559">
        <w:rPr>
          <w:rFonts w:ascii="Verdana" w:hAnsi="Verdana"/>
          <w:sz w:val="20"/>
        </w:rPr>
        <w:t>paisenter</w:t>
      </w:r>
      <w:proofErr w:type="spellEnd"/>
      <w:r w:rsidR="00F65559">
        <w:rPr>
          <w:rFonts w:ascii="Verdana" w:hAnsi="Verdana"/>
          <w:sz w:val="20"/>
        </w:rPr>
        <w:t xml:space="preserve"> med </w:t>
      </w:r>
      <w:proofErr w:type="spellStart"/>
      <w:r w:rsidR="00F65559">
        <w:rPr>
          <w:rFonts w:ascii="Verdana" w:hAnsi="Verdana"/>
          <w:sz w:val="20"/>
        </w:rPr>
        <w:t>tilbakefalt</w:t>
      </w:r>
      <w:proofErr w:type="spellEnd"/>
      <w:r w:rsidR="00F65559">
        <w:rPr>
          <w:rFonts w:ascii="Verdana" w:hAnsi="Verdana"/>
          <w:sz w:val="20"/>
        </w:rPr>
        <w:t xml:space="preserve"> non-</w:t>
      </w:r>
      <w:proofErr w:type="spellStart"/>
      <w:r w:rsidR="00F65559">
        <w:rPr>
          <w:rFonts w:ascii="Verdana" w:hAnsi="Verdana"/>
          <w:sz w:val="20"/>
        </w:rPr>
        <w:t>Hodgkins</w:t>
      </w:r>
      <w:proofErr w:type="spellEnd"/>
      <w:r w:rsidR="00F65559">
        <w:rPr>
          <w:rFonts w:ascii="Verdana" w:hAnsi="Verdana"/>
          <w:sz w:val="20"/>
        </w:rPr>
        <w:t xml:space="preserve"> </w:t>
      </w:r>
      <w:proofErr w:type="spellStart"/>
      <w:r w:rsidR="00F65559">
        <w:rPr>
          <w:rFonts w:ascii="Verdana" w:hAnsi="Verdana"/>
          <w:sz w:val="20"/>
        </w:rPr>
        <w:t>lymfom</w:t>
      </w:r>
      <w:proofErr w:type="spellEnd"/>
      <w:r w:rsidR="00F65559">
        <w:rPr>
          <w:rFonts w:ascii="Verdana" w:hAnsi="Verdana"/>
          <w:sz w:val="20"/>
        </w:rPr>
        <w:t xml:space="preserve"> med anti-CD20-antistoffet </w:t>
      </w:r>
      <w:proofErr w:type="spellStart"/>
      <w:r w:rsidR="00F65559">
        <w:rPr>
          <w:rFonts w:ascii="Verdana" w:hAnsi="Verdana"/>
          <w:sz w:val="20"/>
        </w:rPr>
        <w:t>Rituximab</w:t>
      </w:r>
      <w:proofErr w:type="spellEnd"/>
      <w:r w:rsidR="00F65559">
        <w:rPr>
          <w:rFonts w:ascii="Verdana" w:hAnsi="Verdana"/>
          <w:sz w:val="20"/>
        </w:rPr>
        <w:t xml:space="preserve"> og fra artikkelen McLaughlin P. et al., «</w:t>
      </w:r>
      <w:proofErr w:type="spellStart"/>
      <w:r w:rsidR="00F65559">
        <w:rPr>
          <w:rFonts w:ascii="Verdana" w:hAnsi="Verdana"/>
          <w:sz w:val="20"/>
        </w:rPr>
        <w:t>Rituximab</w:t>
      </w:r>
      <w:proofErr w:type="spellEnd"/>
      <w:r w:rsidR="00F65559">
        <w:rPr>
          <w:rFonts w:ascii="Verdana" w:hAnsi="Verdana"/>
          <w:sz w:val="20"/>
        </w:rPr>
        <w:t xml:space="preserve"> </w:t>
      </w:r>
      <w:proofErr w:type="spellStart"/>
      <w:r w:rsidR="00F65559">
        <w:rPr>
          <w:rFonts w:ascii="Verdana" w:hAnsi="Verdana"/>
          <w:sz w:val="20"/>
        </w:rPr>
        <w:lastRenderedPageBreak/>
        <w:t>chimeric</w:t>
      </w:r>
      <w:proofErr w:type="spellEnd"/>
      <w:r w:rsidR="00F65559">
        <w:rPr>
          <w:rFonts w:ascii="Verdana" w:hAnsi="Verdana"/>
          <w:sz w:val="20"/>
        </w:rPr>
        <w:t xml:space="preserve"> anti-CD20 monoklonal antibody </w:t>
      </w:r>
      <w:proofErr w:type="spellStart"/>
      <w:r w:rsidR="00F65559">
        <w:rPr>
          <w:rFonts w:ascii="Verdana" w:hAnsi="Verdana"/>
          <w:sz w:val="20"/>
        </w:rPr>
        <w:t>therapy</w:t>
      </w:r>
      <w:proofErr w:type="spellEnd"/>
      <w:r w:rsidR="00F65559">
        <w:rPr>
          <w:rFonts w:ascii="Verdana" w:hAnsi="Verdana"/>
          <w:sz w:val="20"/>
        </w:rPr>
        <w:t xml:space="preserve"> for </w:t>
      </w:r>
      <w:proofErr w:type="spellStart"/>
      <w:r w:rsidR="00F65559">
        <w:rPr>
          <w:rFonts w:ascii="Verdana" w:hAnsi="Verdana"/>
          <w:sz w:val="20"/>
        </w:rPr>
        <w:t>relapsed</w:t>
      </w:r>
      <w:proofErr w:type="spellEnd"/>
      <w:r w:rsidR="00F65559">
        <w:rPr>
          <w:rFonts w:ascii="Verdana" w:hAnsi="Verdana"/>
          <w:sz w:val="20"/>
        </w:rPr>
        <w:t xml:space="preserve"> indolent </w:t>
      </w:r>
      <w:proofErr w:type="spellStart"/>
      <w:r w:rsidR="00F65559">
        <w:rPr>
          <w:rFonts w:ascii="Verdana" w:hAnsi="Verdana"/>
          <w:sz w:val="20"/>
        </w:rPr>
        <w:t>lymphoma</w:t>
      </w:r>
      <w:proofErr w:type="spellEnd"/>
      <w:r w:rsidR="00F65559">
        <w:rPr>
          <w:rFonts w:ascii="Verdana" w:hAnsi="Verdana"/>
          <w:sz w:val="20"/>
        </w:rPr>
        <w:t xml:space="preserve">: Half </w:t>
      </w:r>
      <w:proofErr w:type="spellStart"/>
      <w:r w:rsidR="00F65559">
        <w:rPr>
          <w:rFonts w:ascii="Verdana" w:hAnsi="Verdana"/>
          <w:sz w:val="20"/>
        </w:rPr>
        <w:t>of</w:t>
      </w:r>
      <w:proofErr w:type="spellEnd"/>
      <w:r w:rsidR="00F65559">
        <w:rPr>
          <w:rFonts w:ascii="Verdana" w:hAnsi="Verdana"/>
          <w:sz w:val="20"/>
        </w:rPr>
        <w:t xml:space="preserve"> </w:t>
      </w:r>
      <w:proofErr w:type="spellStart"/>
      <w:r w:rsidR="00F65559">
        <w:rPr>
          <w:rFonts w:ascii="Verdana" w:hAnsi="Verdana"/>
          <w:sz w:val="20"/>
        </w:rPr>
        <w:t>patients</w:t>
      </w:r>
      <w:proofErr w:type="spellEnd"/>
      <w:r w:rsidR="00F65559">
        <w:rPr>
          <w:rFonts w:ascii="Verdana" w:hAnsi="Verdana"/>
          <w:sz w:val="20"/>
        </w:rPr>
        <w:t xml:space="preserve"> </w:t>
      </w:r>
      <w:proofErr w:type="spellStart"/>
      <w:r w:rsidR="00F65559">
        <w:rPr>
          <w:rFonts w:ascii="Verdana" w:hAnsi="Verdana"/>
          <w:sz w:val="20"/>
        </w:rPr>
        <w:t>respond</w:t>
      </w:r>
      <w:proofErr w:type="spellEnd"/>
      <w:r w:rsidR="00F65559">
        <w:rPr>
          <w:rFonts w:ascii="Verdana" w:hAnsi="Verdana"/>
          <w:sz w:val="20"/>
        </w:rPr>
        <w:t xml:space="preserve"> to a </w:t>
      </w:r>
      <w:proofErr w:type="spellStart"/>
      <w:r w:rsidR="00F65559">
        <w:rPr>
          <w:rFonts w:ascii="Verdana" w:hAnsi="Verdana"/>
          <w:sz w:val="20"/>
        </w:rPr>
        <w:t>four</w:t>
      </w:r>
      <w:proofErr w:type="spellEnd"/>
      <w:r w:rsidR="00F65559">
        <w:rPr>
          <w:rFonts w:ascii="Verdana" w:hAnsi="Verdana"/>
          <w:sz w:val="20"/>
        </w:rPr>
        <w:t xml:space="preserve">-dose </w:t>
      </w:r>
      <w:proofErr w:type="spellStart"/>
      <w:r w:rsidR="00F65559">
        <w:rPr>
          <w:rFonts w:ascii="Verdana" w:hAnsi="Verdana"/>
          <w:sz w:val="20"/>
        </w:rPr>
        <w:t>treatment</w:t>
      </w:r>
      <w:proofErr w:type="spellEnd"/>
      <w:r w:rsidR="00F65559">
        <w:rPr>
          <w:rFonts w:ascii="Verdana" w:hAnsi="Verdana"/>
          <w:sz w:val="20"/>
        </w:rPr>
        <w:t xml:space="preserve"> program. 1998.08, Vol. 16, No. 8, s. 2825-33 er det kjent behandling av pasienter med </w:t>
      </w:r>
      <w:proofErr w:type="spellStart"/>
      <w:r w:rsidR="00F65559">
        <w:rPr>
          <w:rFonts w:ascii="Verdana" w:hAnsi="Verdana"/>
          <w:sz w:val="20"/>
        </w:rPr>
        <w:t>tilbakefalt</w:t>
      </w:r>
      <w:proofErr w:type="spellEnd"/>
      <w:r w:rsidR="00F65559">
        <w:rPr>
          <w:rFonts w:ascii="Verdana" w:hAnsi="Verdana"/>
          <w:sz w:val="20"/>
        </w:rPr>
        <w:t xml:space="preserve"> non-</w:t>
      </w:r>
      <w:proofErr w:type="spellStart"/>
      <w:r w:rsidR="00F65559">
        <w:rPr>
          <w:rFonts w:ascii="Verdana" w:hAnsi="Verdana"/>
          <w:sz w:val="20"/>
        </w:rPr>
        <w:t>Hodgkins</w:t>
      </w:r>
      <w:proofErr w:type="spellEnd"/>
      <w:r w:rsidR="00F65559">
        <w:rPr>
          <w:rFonts w:ascii="Verdana" w:hAnsi="Verdana"/>
          <w:sz w:val="20"/>
        </w:rPr>
        <w:t xml:space="preserve"> </w:t>
      </w:r>
      <w:proofErr w:type="spellStart"/>
      <w:r w:rsidR="00F65559">
        <w:rPr>
          <w:rFonts w:ascii="Verdana" w:hAnsi="Verdana"/>
          <w:sz w:val="20"/>
        </w:rPr>
        <w:t>lymfom</w:t>
      </w:r>
      <w:proofErr w:type="spellEnd"/>
      <w:r w:rsidR="00F65559">
        <w:rPr>
          <w:rFonts w:ascii="Verdana" w:hAnsi="Verdana"/>
          <w:sz w:val="20"/>
        </w:rPr>
        <w:t xml:space="preserve"> (NHL) med anti-CD20-antistoffet </w:t>
      </w:r>
      <w:proofErr w:type="spellStart"/>
      <w:r w:rsidR="00F65559">
        <w:rPr>
          <w:rFonts w:ascii="Verdana" w:hAnsi="Verdana"/>
          <w:sz w:val="20"/>
        </w:rPr>
        <w:t>Rituximab</w:t>
      </w:r>
      <w:proofErr w:type="spellEnd"/>
      <w:r w:rsidR="00F65559">
        <w:rPr>
          <w:rFonts w:ascii="Verdana" w:hAnsi="Verdana"/>
          <w:sz w:val="20"/>
        </w:rPr>
        <w:t>.</w:t>
      </w:r>
    </w:p>
    <w:p w:rsidR="00F65559" w:rsidRPr="00F65559" w:rsidRDefault="00F65559">
      <w:pPr>
        <w:rPr>
          <w:rFonts w:ascii="Verdana" w:hAnsi="Verdana"/>
          <w:sz w:val="20"/>
        </w:rPr>
      </w:pPr>
      <w:r w:rsidRPr="00F65559">
        <w:rPr>
          <w:rFonts w:ascii="Verdana" w:hAnsi="Verdana"/>
          <w:sz w:val="20"/>
        </w:rPr>
        <w:t xml:space="preserve">Fra </w:t>
      </w:r>
      <w:proofErr w:type="spellStart"/>
      <w:r w:rsidRPr="00F65559">
        <w:rPr>
          <w:rFonts w:ascii="Verdana" w:hAnsi="Verdana"/>
          <w:sz w:val="20"/>
        </w:rPr>
        <w:t>Brti.S</w:t>
      </w:r>
      <w:proofErr w:type="spellEnd"/>
      <w:r w:rsidRPr="00F65559">
        <w:rPr>
          <w:rFonts w:ascii="Verdana" w:hAnsi="Verdana"/>
          <w:sz w:val="20"/>
        </w:rPr>
        <w:t xml:space="preserve">. </w:t>
      </w:r>
      <w:proofErr w:type="spellStart"/>
      <w:r w:rsidRPr="00F65559">
        <w:rPr>
          <w:rFonts w:ascii="Verdana" w:hAnsi="Verdana"/>
          <w:sz w:val="20"/>
        </w:rPr>
        <w:t>of</w:t>
      </w:r>
      <w:proofErr w:type="spellEnd"/>
      <w:r w:rsidRPr="00F65559">
        <w:rPr>
          <w:rFonts w:ascii="Verdana" w:hAnsi="Verdana"/>
          <w:sz w:val="20"/>
        </w:rPr>
        <w:t xml:space="preserve"> </w:t>
      </w:r>
      <w:proofErr w:type="spellStart"/>
      <w:r w:rsidRPr="00F65559">
        <w:rPr>
          <w:rFonts w:ascii="Verdana" w:hAnsi="Verdana"/>
          <w:sz w:val="20"/>
        </w:rPr>
        <w:t>Haematol</w:t>
      </w:r>
      <w:proofErr w:type="spellEnd"/>
      <w:r w:rsidRPr="00F65559">
        <w:rPr>
          <w:rFonts w:ascii="Verdana" w:hAnsi="Verdana"/>
          <w:sz w:val="20"/>
        </w:rPr>
        <w:t xml:space="preserve">, Vol. 102, no. 1 (van der Kolk, L.E. </w:t>
      </w:r>
      <w:proofErr w:type="gramStart"/>
      <w:r w:rsidRPr="00F65559">
        <w:rPr>
          <w:rFonts w:ascii="Verdana" w:hAnsi="Verdana"/>
          <w:sz w:val="20"/>
        </w:rPr>
        <w:t>et</w:t>
      </w:r>
      <w:proofErr w:type="gramEnd"/>
      <w:r w:rsidRPr="00F65559">
        <w:rPr>
          <w:rFonts w:ascii="Verdana" w:hAnsi="Verdana"/>
          <w:sz w:val="20"/>
        </w:rPr>
        <w:t xml:space="preserve"> al.) </w:t>
      </w:r>
      <w:r>
        <w:rPr>
          <w:rFonts w:ascii="Verdana" w:hAnsi="Verdana"/>
          <w:sz w:val="20"/>
        </w:rPr>
        <w:t xml:space="preserve">er det kjent behandling med et </w:t>
      </w:r>
      <w:proofErr w:type="spellStart"/>
      <w:r>
        <w:rPr>
          <w:rFonts w:ascii="Verdana" w:hAnsi="Verdana"/>
          <w:sz w:val="20"/>
        </w:rPr>
        <w:t>chimerisk</w:t>
      </w:r>
      <w:proofErr w:type="spellEnd"/>
      <w:r>
        <w:rPr>
          <w:rFonts w:ascii="Verdana" w:hAnsi="Verdana"/>
          <w:sz w:val="20"/>
        </w:rPr>
        <w:t xml:space="preserve"> anti-CD20-antistoff (</w:t>
      </w:r>
      <w:proofErr w:type="spellStart"/>
      <w:r>
        <w:rPr>
          <w:rFonts w:ascii="Verdana" w:hAnsi="Verdana"/>
          <w:sz w:val="20"/>
        </w:rPr>
        <w:t>Rituximab</w:t>
      </w:r>
      <w:proofErr w:type="spellEnd"/>
      <w:r>
        <w:rPr>
          <w:rFonts w:ascii="Verdana" w:hAnsi="Verdana"/>
          <w:sz w:val="20"/>
        </w:rPr>
        <w:t xml:space="preserve">) ved </w:t>
      </w:r>
      <w:proofErr w:type="spellStart"/>
      <w:r>
        <w:rPr>
          <w:rFonts w:ascii="Verdana" w:hAnsi="Verdana"/>
          <w:sz w:val="20"/>
        </w:rPr>
        <w:t>tilbakefalt</w:t>
      </w:r>
      <w:proofErr w:type="spellEnd"/>
      <w:r>
        <w:rPr>
          <w:rFonts w:ascii="Verdana" w:hAnsi="Verdana"/>
          <w:sz w:val="20"/>
        </w:rPr>
        <w:t xml:space="preserve"> B-</w:t>
      </w:r>
      <w:proofErr w:type="spellStart"/>
      <w:r>
        <w:rPr>
          <w:rFonts w:ascii="Verdana" w:hAnsi="Verdana"/>
          <w:sz w:val="20"/>
        </w:rPr>
        <w:t>clle</w:t>
      </w:r>
      <w:proofErr w:type="spellEnd"/>
      <w:r>
        <w:rPr>
          <w:rFonts w:ascii="Verdana" w:hAnsi="Verdana"/>
          <w:sz w:val="20"/>
        </w:rPr>
        <w:t>-</w:t>
      </w:r>
      <w:proofErr w:type="spellStart"/>
      <w:r>
        <w:rPr>
          <w:rFonts w:ascii="Verdana" w:hAnsi="Verdana"/>
          <w:sz w:val="20"/>
        </w:rPr>
        <w:t>lymfom</w:t>
      </w:r>
      <w:proofErr w:type="spellEnd"/>
      <w:r>
        <w:rPr>
          <w:rFonts w:ascii="Verdana" w:hAnsi="Verdana"/>
          <w:sz w:val="20"/>
        </w:rPr>
        <w:t>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Imidlertid selv om anti-CD20-antistoff og spesielt </w:t>
      </w:r>
      <w:proofErr w:type="spellStart"/>
      <w:r w:rsidRPr="002646AD">
        <w:rPr>
          <w:rFonts w:ascii="Verdana" w:hAnsi="Verdana"/>
          <w:sz w:val="20"/>
        </w:rPr>
        <w:t>Ritu</w:t>
      </w:r>
      <w:r w:rsidRPr="002646AD">
        <w:rPr>
          <w:rFonts w:ascii="Verdana" w:hAnsi="Verdana"/>
          <w:sz w:val="20"/>
        </w:rPr>
        <w:softHyphen/>
        <w:t>xan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(U.S; i England, MabThera</w:t>
      </w:r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; generelt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>) har blitt beskrevet til å være effektiv ved behandling av B-celle-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så som non-</w:t>
      </w:r>
      <w:proofErr w:type="spellStart"/>
      <w:r w:rsidRPr="002646AD">
        <w:rPr>
          <w:rFonts w:ascii="Verdana" w:hAnsi="Verdana"/>
          <w:sz w:val="20"/>
        </w:rPr>
        <w:t>Hodgkins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>, blir de be</w:t>
      </w:r>
      <w:r w:rsidRPr="002646AD">
        <w:rPr>
          <w:rFonts w:ascii="Verdana" w:hAnsi="Verdana"/>
          <w:sz w:val="20"/>
        </w:rPr>
        <w:softHyphen/>
        <w:t>handlede pasienter ofte utsatt for sykdomstilbakefall.  Følgelig vil det være gunstig om mer effektive behandlings</w:t>
      </w:r>
      <w:r w:rsidRPr="002646AD">
        <w:rPr>
          <w:rFonts w:ascii="Verdana" w:hAnsi="Verdana"/>
          <w:sz w:val="20"/>
        </w:rPr>
        <w:softHyphen/>
        <w:t>metoder kunne bli utviklet.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Mer spesielt ville det være fordelaktig om anti-CD20-anti</w:t>
      </w:r>
      <w:r w:rsidRPr="002646AD">
        <w:rPr>
          <w:rFonts w:ascii="Verdana" w:hAnsi="Verdana"/>
          <w:sz w:val="20"/>
        </w:rPr>
        <w:softHyphen/>
        <w:t xml:space="preserve">stoff hadde en gunstig effekt i kombinasjon med andre </w:t>
      </w:r>
      <w:proofErr w:type="spellStart"/>
      <w:r w:rsidRPr="002646AD">
        <w:rPr>
          <w:rFonts w:ascii="Verdana" w:hAnsi="Verdana"/>
          <w:sz w:val="20"/>
        </w:rPr>
        <w:t>lym</w:t>
      </w:r>
      <w:r w:rsidRPr="002646AD">
        <w:rPr>
          <w:rFonts w:ascii="Verdana" w:hAnsi="Verdana"/>
          <w:sz w:val="20"/>
        </w:rPr>
        <w:softHyphen/>
        <w:t>fombehandlinger</w:t>
      </w:r>
      <w:proofErr w:type="spellEnd"/>
      <w:r w:rsidRPr="002646AD">
        <w:rPr>
          <w:rFonts w:ascii="Verdana" w:hAnsi="Verdana"/>
          <w:sz w:val="20"/>
        </w:rPr>
        <w:t xml:space="preserve"> og om nye terapeutiske metoder kunne bli utviklet for å minske sannsynligheten eller frekvensen av tilbakefall.  I tillegg vil det være hjelpsomt om aktuelle behandlingsmetoder for B-celle-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ble forbedret hvorved pasienter med 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som er </w:t>
      </w:r>
      <w:proofErr w:type="spellStart"/>
      <w:r w:rsidRPr="002646AD">
        <w:rPr>
          <w:rFonts w:ascii="Verdana" w:hAnsi="Verdana"/>
          <w:sz w:val="20"/>
        </w:rPr>
        <w:t>refraktoriske</w:t>
      </w:r>
      <w:proofErr w:type="spellEnd"/>
      <w:r w:rsidRPr="002646AD">
        <w:rPr>
          <w:rFonts w:ascii="Verdana" w:hAnsi="Verdana"/>
          <w:sz w:val="20"/>
        </w:rPr>
        <w:t xml:space="preserve"> til an</w:t>
      </w:r>
      <w:r w:rsidRPr="002646AD">
        <w:rPr>
          <w:rFonts w:ascii="Verdana" w:hAnsi="Verdana"/>
          <w:sz w:val="20"/>
        </w:rPr>
        <w:softHyphen/>
        <w:t xml:space="preserve">dre behandlingsmetoder kunne bli behandlet med </w:t>
      </w:r>
      <w:proofErr w:type="spellStart"/>
      <w:r w:rsidRPr="002646AD">
        <w:rPr>
          <w:rFonts w:ascii="Verdana" w:hAnsi="Verdana"/>
          <w:sz w:val="20"/>
        </w:rPr>
        <w:t>kimeriske</w:t>
      </w:r>
      <w:proofErr w:type="spellEnd"/>
      <w:r w:rsidRPr="002646AD">
        <w:rPr>
          <w:rFonts w:ascii="Verdana" w:hAnsi="Verdana"/>
          <w:sz w:val="20"/>
        </w:rPr>
        <w:t xml:space="preserve"> eller radiomerkede anti-CD20-antistoff.  Det ville også være hjelpsomt om behandling med anti-CD20-antistoff, spe</w:t>
      </w:r>
      <w:r w:rsidRPr="002646AD">
        <w:rPr>
          <w:rFonts w:ascii="Verdana" w:hAnsi="Verdana"/>
          <w:sz w:val="20"/>
        </w:rPr>
        <w:softHyphen/>
        <w:t xml:space="preserve">sielt i kombinasjon med andre behandlinger kunne bli brukt som terapi for andre typer 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ved siden av lav-grads, follikulær non-</w:t>
      </w:r>
      <w:proofErr w:type="spellStart"/>
      <w:r w:rsidRPr="002646AD">
        <w:rPr>
          <w:rFonts w:ascii="Verdana" w:hAnsi="Verdana"/>
          <w:sz w:val="20"/>
        </w:rPr>
        <w:t>Hodgkins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(NHL).</w:t>
      </w:r>
    </w:p>
    <w:p w:rsidR="001003C4" w:rsidRPr="002646AD" w:rsidRDefault="001003C4">
      <w:pPr>
        <w:pStyle w:val="Overskrift1"/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Oppsummering av oppfinnelsen</w:t>
      </w:r>
    </w:p>
    <w:p w:rsidR="001003C4" w:rsidRPr="002646AD" w:rsidRDefault="001003C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</w:t>
      </w:r>
      <w:r w:rsidRPr="002646AD">
        <w:rPr>
          <w:rFonts w:ascii="Verdana" w:hAnsi="Verdana"/>
          <w:sz w:val="20"/>
        </w:rPr>
        <w:t>ombinerte terapeutiske behandlinger for B-celle-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gir</w:t>
      </w:r>
      <w:r w:rsidRPr="002646AD">
        <w:rPr>
          <w:rFonts w:ascii="Verdana" w:hAnsi="Verdana"/>
          <w:sz w:val="20"/>
        </w:rPr>
        <w:t xml:space="preserve"> fordele</w:t>
      </w:r>
      <w:r>
        <w:rPr>
          <w:rFonts w:ascii="Verdana" w:hAnsi="Verdana"/>
          <w:sz w:val="20"/>
        </w:rPr>
        <w:t>r</w:t>
      </w:r>
      <w:r w:rsidRPr="002646AD">
        <w:rPr>
          <w:rFonts w:ascii="Verdana" w:hAnsi="Verdana"/>
          <w:sz w:val="20"/>
        </w:rPr>
        <w:t xml:space="preserve"> ved å behandle </w:t>
      </w:r>
      <w:proofErr w:type="spellStart"/>
      <w:r w:rsidRPr="002646AD">
        <w:rPr>
          <w:rFonts w:ascii="Verdana" w:hAnsi="Verdana"/>
          <w:sz w:val="20"/>
        </w:rPr>
        <w:t>tilbakefalt</w:t>
      </w:r>
      <w:proofErr w:type="spellEnd"/>
      <w:r w:rsidRPr="002646AD">
        <w:rPr>
          <w:rFonts w:ascii="Verdana" w:hAnsi="Verdana"/>
          <w:sz w:val="20"/>
        </w:rPr>
        <w:t xml:space="preserve"> eller </w:t>
      </w:r>
      <w:proofErr w:type="spellStart"/>
      <w:r w:rsidRPr="002646AD">
        <w:rPr>
          <w:rFonts w:ascii="Verdana" w:hAnsi="Verdana"/>
          <w:sz w:val="20"/>
        </w:rPr>
        <w:t>refraktoriske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B-celle-lym</w:t>
      </w:r>
      <w:r w:rsidRPr="002646AD">
        <w:rPr>
          <w:rFonts w:ascii="Verdana" w:hAnsi="Verdana"/>
          <w:sz w:val="20"/>
        </w:rPr>
        <w:softHyphen/>
        <w:t>fomer</w:t>
      </w:r>
      <w:proofErr w:type="spellEnd"/>
      <w:r w:rsidRPr="002646AD">
        <w:rPr>
          <w:rFonts w:ascii="Verdana" w:hAnsi="Verdana"/>
          <w:sz w:val="20"/>
        </w:rPr>
        <w:t xml:space="preserve"> med </w:t>
      </w:r>
      <w:proofErr w:type="spellStart"/>
      <w:r w:rsidRPr="002646AD">
        <w:rPr>
          <w:rFonts w:ascii="Verdana" w:hAnsi="Verdana"/>
          <w:sz w:val="20"/>
        </w:rPr>
        <w:t>kimeriske</w:t>
      </w:r>
      <w:proofErr w:type="spellEnd"/>
      <w:r w:rsidRPr="002646AD">
        <w:rPr>
          <w:rFonts w:ascii="Verdana" w:hAnsi="Verdana"/>
          <w:sz w:val="20"/>
        </w:rPr>
        <w:t xml:space="preserve"> og radiomerkede anti-CD20-antistoff. Spesielt har det blitt funnet at anti-CD20-antistoff gir en gunstig synergistisk effekt når administrert i kombinasjon med cytokiner, radioterapi, </w:t>
      </w:r>
      <w:proofErr w:type="spellStart"/>
      <w:r w:rsidRPr="002646AD">
        <w:rPr>
          <w:rFonts w:ascii="Verdana" w:hAnsi="Verdana"/>
          <w:sz w:val="20"/>
        </w:rPr>
        <w:t>myeloablativ</w:t>
      </w:r>
      <w:proofErr w:type="spellEnd"/>
      <w:r w:rsidRPr="002646AD">
        <w:rPr>
          <w:rFonts w:ascii="Verdana" w:hAnsi="Verdana"/>
          <w:sz w:val="20"/>
        </w:rPr>
        <w:t xml:space="preserve"> terapi eller kje</w:t>
      </w:r>
      <w:r w:rsidRPr="002646AD">
        <w:rPr>
          <w:rFonts w:ascii="Verdana" w:hAnsi="Verdana"/>
          <w:sz w:val="20"/>
        </w:rPr>
        <w:softHyphen/>
        <w:t>moterapi.  Overraskende hadde pasienter som tidligere hadde benmargs- eller stamcelletransplantasjon</w:t>
      </w:r>
      <w:r>
        <w:rPr>
          <w:rFonts w:ascii="Verdana" w:hAnsi="Verdana"/>
          <w:sz w:val="20"/>
        </w:rPr>
        <w:t>,</w:t>
      </w:r>
      <w:r w:rsidRPr="002646AD">
        <w:rPr>
          <w:rFonts w:ascii="Verdana" w:hAnsi="Verdana"/>
          <w:sz w:val="20"/>
        </w:rPr>
        <w:t xml:space="preserve"> en uventet økning i den totale responsgrad sammenlignet med pasienter uten tidligere terapi.</w:t>
      </w:r>
    </w:p>
    <w:p w:rsidR="001003C4" w:rsidRPr="002646AD" w:rsidRDefault="001003C4">
      <w:pPr>
        <w:pStyle w:val="Overskrift1"/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lastRenderedPageBreak/>
        <w:t>Detaljert beskrivelse av oppfinnelsen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Foreliggende oppfinnelse omfatter</w:t>
      </w:r>
      <w:r>
        <w:rPr>
          <w:rFonts w:ascii="Verdana" w:hAnsi="Verdana"/>
          <w:sz w:val="20"/>
        </w:rPr>
        <w:t xml:space="preserve"> anvendelse av </w:t>
      </w:r>
      <w:r w:rsidRPr="001003C4">
        <w:rPr>
          <w:rFonts w:ascii="Verdana" w:hAnsi="Verdana"/>
          <w:sz w:val="20"/>
        </w:rPr>
        <w:t xml:space="preserve">genetisk manipulert </w:t>
      </w:r>
      <w:proofErr w:type="spellStart"/>
      <w:r w:rsidRPr="001003C4">
        <w:rPr>
          <w:rFonts w:ascii="Verdana" w:hAnsi="Verdana"/>
          <w:sz w:val="20"/>
        </w:rPr>
        <w:t>kimerisk</w:t>
      </w:r>
      <w:proofErr w:type="spellEnd"/>
      <w:r w:rsidRPr="001003C4">
        <w:rPr>
          <w:rFonts w:ascii="Verdana" w:hAnsi="Verdana"/>
          <w:sz w:val="20"/>
        </w:rPr>
        <w:t xml:space="preserve"> monoklonalt antistoff med </w:t>
      </w:r>
      <w:proofErr w:type="spellStart"/>
      <w:r w:rsidRPr="001003C4">
        <w:rPr>
          <w:rFonts w:ascii="Verdana" w:hAnsi="Verdana"/>
          <w:sz w:val="20"/>
        </w:rPr>
        <w:t>murine</w:t>
      </w:r>
      <w:proofErr w:type="spellEnd"/>
      <w:r w:rsidRPr="001003C4">
        <w:rPr>
          <w:rFonts w:ascii="Verdana" w:hAnsi="Verdana"/>
          <w:sz w:val="20"/>
        </w:rPr>
        <w:t xml:space="preserve"> lette- og tungkjedete variable områder og humane gamma I tungkjede og kappa lettkjede konstante områder, hvor det </w:t>
      </w:r>
      <w:proofErr w:type="spellStart"/>
      <w:r w:rsidRPr="001003C4">
        <w:rPr>
          <w:rFonts w:ascii="Verdana" w:hAnsi="Verdana"/>
          <w:sz w:val="20"/>
        </w:rPr>
        <w:t>kimeriske</w:t>
      </w:r>
      <w:proofErr w:type="spellEnd"/>
      <w:r w:rsidRPr="001003C4">
        <w:rPr>
          <w:rFonts w:ascii="Verdana" w:hAnsi="Verdana"/>
          <w:sz w:val="20"/>
        </w:rPr>
        <w:t xml:space="preserve"> antistoffet består av 2 tunge kjeder på 451 aminosyrer og 2 letter kjeder på 213 aminosyrer og har en omtrentlig molekylvekt på 145 </w:t>
      </w:r>
      <w:proofErr w:type="spellStart"/>
      <w:r w:rsidRPr="001003C4">
        <w:rPr>
          <w:rFonts w:ascii="Verdana" w:hAnsi="Verdana"/>
          <w:sz w:val="20"/>
        </w:rPr>
        <w:t>kD</w:t>
      </w:r>
      <w:proofErr w:type="spellEnd"/>
      <w:r w:rsidRPr="001003C4">
        <w:rPr>
          <w:rFonts w:ascii="Verdana" w:hAnsi="Verdana"/>
          <w:sz w:val="20"/>
        </w:rPr>
        <w:t xml:space="preserve"> (“</w:t>
      </w:r>
      <w:proofErr w:type="spellStart"/>
      <w:r w:rsidRPr="001003C4">
        <w:rPr>
          <w:rFonts w:ascii="Verdana" w:hAnsi="Verdana"/>
          <w:sz w:val="20"/>
        </w:rPr>
        <w:t>rituximab</w:t>
      </w:r>
      <w:proofErr w:type="spellEnd"/>
      <w:r w:rsidRPr="001003C4">
        <w:rPr>
          <w:rFonts w:ascii="Verdana" w:hAnsi="Verdana"/>
          <w:sz w:val="20"/>
        </w:rPr>
        <w:t xml:space="preserve">”) for </w:t>
      </w:r>
      <w:proofErr w:type="spellStart"/>
      <w:r w:rsidRPr="001003C4">
        <w:rPr>
          <w:rFonts w:ascii="Verdana" w:hAnsi="Verdana"/>
          <w:sz w:val="20"/>
        </w:rPr>
        <w:t>fremstiling</w:t>
      </w:r>
      <w:proofErr w:type="spellEnd"/>
      <w:r w:rsidRPr="001003C4">
        <w:rPr>
          <w:rFonts w:ascii="Verdana" w:hAnsi="Verdana"/>
          <w:sz w:val="20"/>
        </w:rPr>
        <w:t xml:space="preserve"> av et medika</w:t>
      </w:r>
      <w:r w:rsidRPr="001003C4">
        <w:rPr>
          <w:rFonts w:ascii="Verdana" w:hAnsi="Verdana"/>
          <w:sz w:val="20"/>
        </w:rPr>
        <w:softHyphen/>
        <w:t>ment for opprettholdelsesterapi for lav-grads follikulært B-celle non-</w:t>
      </w:r>
      <w:proofErr w:type="spellStart"/>
      <w:r w:rsidRPr="001003C4">
        <w:rPr>
          <w:rFonts w:ascii="Verdana" w:hAnsi="Verdana"/>
          <w:sz w:val="20"/>
        </w:rPr>
        <w:t>Hodgkins</w:t>
      </w:r>
      <w:proofErr w:type="spellEnd"/>
      <w:r w:rsidRPr="001003C4">
        <w:rPr>
          <w:rFonts w:ascii="Verdana" w:hAnsi="Verdana"/>
          <w:sz w:val="20"/>
        </w:rPr>
        <w:t xml:space="preserve"> </w:t>
      </w:r>
      <w:proofErr w:type="spellStart"/>
      <w:r w:rsidRPr="001003C4">
        <w:rPr>
          <w:rFonts w:ascii="Verdana" w:hAnsi="Verdana"/>
          <w:sz w:val="20"/>
        </w:rPr>
        <w:t>lymform</w:t>
      </w:r>
      <w:proofErr w:type="spellEnd"/>
      <w:r w:rsidRPr="001003C4">
        <w:rPr>
          <w:rFonts w:ascii="Verdana" w:hAnsi="Verdana"/>
          <w:sz w:val="20"/>
        </w:rPr>
        <w:t xml:space="preserve"> hos en menneskepasient hvor pasienten har mottatt </w:t>
      </w:r>
      <w:proofErr w:type="spellStart"/>
      <w:r w:rsidRPr="001003C4">
        <w:rPr>
          <w:rFonts w:ascii="Verdana" w:hAnsi="Verdana"/>
          <w:sz w:val="20"/>
        </w:rPr>
        <w:t>cyklofosfamid</w:t>
      </w:r>
      <w:proofErr w:type="spellEnd"/>
      <w:r w:rsidRPr="001003C4">
        <w:rPr>
          <w:rFonts w:ascii="Verdana" w:hAnsi="Verdana"/>
          <w:sz w:val="20"/>
        </w:rPr>
        <w:t xml:space="preserve">, </w:t>
      </w:r>
      <w:proofErr w:type="spellStart"/>
      <w:r w:rsidRPr="001003C4">
        <w:rPr>
          <w:rFonts w:ascii="Verdana" w:hAnsi="Verdana"/>
          <w:sz w:val="20"/>
        </w:rPr>
        <w:t>vincristine</w:t>
      </w:r>
      <w:proofErr w:type="spellEnd"/>
      <w:r w:rsidRPr="001003C4">
        <w:rPr>
          <w:rFonts w:ascii="Verdana" w:hAnsi="Verdana"/>
          <w:sz w:val="20"/>
        </w:rPr>
        <w:t xml:space="preserve">, </w:t>
      </w:r>
      <w:proofErr w:type="spellStart"/>
      <w:r w:rsidRPr="001003C4">
        <w:rPr>
          <w:rFonts w:ascii="Verdana" w:hAnsi="Verdana"/>
          <w:sz w:val="20"/>
        </w:rPr>
        <w:t>prednison</w:t>
      </w:r>
      <w:proofErr w:type="spellEnd"/>
      <w:r w:rsidRPr="001003C4">
        <w:rPr>
          <w:rFonts w:ascii="Verdana" w:hAnsi="Verdana"/>
          <w:sz w:val="20"/>
        </w:rPr>
        <w:t xml:space="preserve"> (CVP) kjemoterapi før </w:t>
      </w:r>
      <w:proofErr w:type="spellStart"/>
      <w:r w:rsidRPr="001003C4">
        <w:rPr>
          <w:rFonts w:ascii="Verdana" w:hAnsi="Verdana"/>
          <w:sz w:val="20"/>
        </w:rPr>
        <w:t>rituximab</w:t>
      </w:r>
      <w:proofErr w:type="spellEnd"/>
      <w:r w:rsidRPr="001003C4">
        <w:rPr>
          <w:rFonts w:ascii="Verdana" w:hAnsi="Verdana"/>
          <w:sz w:val="20"/>
        </w:rPr>
        <w:t xml:space="preserve"> opprettholdelsesterapi, hvor hver administrasjon av </w:t>
      </w:r>
      <w:proofErr w:type="spellStart"/>
      <w:r w:rsidRPr="001003C4">
        <w:rPr>
          <w:rFonts w:ascii="Verdana" w:hAnsi="Verdana"/>
          <w:sz w:val="20"/>
        </w:rPr>
        <w:t>rituximab</w:t>
      </w:r>
      <w:proofErr w:type="spellEnd"/>
      <w:r w:rsidRPr="001003C4">
        <w:rPr>
          <w:rFonts w:ascii="Verdana" w:hAnsi="Verdana"/>
          <w:sz w:val="20"/>
        </w:rPr>
        <w:t xml:space="preserve"> foregår ved </w:t>
      </w:r>
      <w:proofErr w:type="spellStart"/>
      <w:r w:rsidRPr="001003C4">
        <w:rPr>
          <w:rFonts w:ascii="Verdana" w:hAnsi="Verdana"/>
          <w:sz w:val="20"/>
        </w:rPr>
        <w:t>ebn</w:t>
      </w:r>
      <w:proofErr w:type="spellEnd"/>
      <w:r w:rsidRPr="001003C4">
        <w:rPr>
          <w:rFonts w:ascii="Verdana" w:hAnsi="Verdana"/>
          <w:sz w:val="20"/>
        </w:rPr>
        <w:t xml:space="preserve"> dose på 375 mg/m</w:t>
      </w:r>
      <w:r w:rsidRPr="001003C4">
        <w:rPr>
          <w:rFonts w:ascii="Verdana" w:hAnsi="Verdana"/>
          <w:sz w:val="20"/>
          <w:vertAlign w:val="superscript"/>
        </w:rPr>
        <w:t>2</w:t>
      </w:r>
      <w:r w:rsidRPr="001003C4">
        <w:rPr>
          <w:rFonts w:ascii="Verdana" w:hAnsi="Verdana"/>
          <w:sz w:val="20"/>
        </w:rPr>
        <w:t xml:space="preserve"> og hvor </w:t>
      </w:r>
      <w:proofErr w:type="spellStart"/>
      <w:r w:rsidRPr="001003C4">
        <w:rPr>
          <w:rFonts w:ascii="Verdana" w:hAnsi="Verdana"/>
          <w:sz w:val="20"/>
        </w:rPr>
        <w:t>rituximab</w:t>
      </w:r>
      <w:proofErr w:type="spellEnd"/>
      <w:r w:rsidRPr="001003C4">
        <w:rPr>
          <w:rFonts w:ascii="Verdana" w:hAnsi="Verdana"/>
          <w:sz w:val="20"/>
        </w:rPr>
        <w:t xml:space="preserve"> opprettholdelsesterapi blir gitt over 2 år.</w:t>
      </w:r>
      <w:r>
        <w:rPr>
          <w:rFonts w:ascii="Verdana" w:hAnsi="Verdana"/>
          <w:sz w:val="20"/>
        </w:rPr>
        <w:t xml:space="preserve"> </w:t>
      </w:r>
      <w:r w:rsidRPr="002646AD">
        <w:rPr>
          <w:rFonts w:ascii="Verdana" w:hAnsi="Verdana"/>
          <w:sz w:val="20"/>
        </w:rPr>
        <w:t>Ge</w:t>
      </w:r>
      <w:r w:rsidRPr="002646AD">
        <w:rPr>
          <w:rFonts w:ascii="Verdana" w:hAnsi="Verdana"/>
          <w:sz w:val="20"/>
        </w:rPr>
        <w:softHyphen/>
        <w:t xml:space="preserve">nerelt </w:t>
      </w:r>
      <w:r>
        <w:rPr>
          <w:rFonts w:ascii="Verdana" w:hAnsi="Verdana"/>
          <w:sz w:val="20"/>
        </w:rPr>
        <w:t xml:space="preserve">kan </w:t>
      </w:r>
      <w:proofErr w:type="gramStart"/>
      <w:r w:rsidRPr="002646AD">
        <w:rPr>
          <w:rFonts w:ascii="Verdana" w:hAnsi="Verdana"/>
          <w:sz w:val="20"/>
        </w:rPr>
        <w:t>gjentatte</w:t>
      </w:r>
      <w:proofErr w:type="gramEnd"/>
      <w:r w:rsidRPr="002646AD">
        <w:rPr>
          <w:rFonts w:ascii="Verdana" w:hAnsi="Verdana"/>
          <w:sz w:val="20"/>
        </w:rPr>
        <w:t xml:space="preserve"> B-celle-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hvor en pasient som har tidligere behandling for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har fått tilbakefall bli administrert en terapeutisk effektiv mengde av et </w:t>
      </w:r>
      <w:proofErr w:type="spellStart"/>
      <w:r w:rsidRPr="002646AD">
        <w:rPr>
          <w:rFonts w:ascii="Verdana" w:hAnsi="Verdana"/>
          <w:sz w:val="20"/>
        </w:rPr>
        <w:t>ki</w:t>
      </w:r>
      <w:r w:rsidRPr="002646AD">
        <w:rPr>
          <w:rFonts w:ascii="Verdana" w:hAnsi="Verdana"/>
          <w:sz w:val="20"/>
        </w:rPr>
        <w:softHyphen/>
        <w:t>merisk</w:t>
      </w:r>
      <w:proofErr w:type="spellEnd"/>
      <w:r w:rsidRPr="002646AD">
        <w:rPr>
          <w:rFonts w:ascii="Verdana" w:hAnsi="Verdana"/>
          <w:sz w:val="20"/>
        </w:rPr>
        <w:t xml:space="preserve"> anti-CD20-antistoff.  Slike tidligere behandlinger kan innbefatte, for eksempel tidligere behandling med anti-CD20-antistoff, behandlinger som innbefattet en benmargs- eller stamcelletransplantasjon, radioterapi og kjemoterapi.  Den tidligere kjemoterapi kan være valgt fra en bred gruppe kjemoterapeutiske midler og kombinasjonsregimer innbefat</w:t>
      </w:r>
      <w:r w:rsidRPr="002646AD">
        <w:rPr>
          <w:rFonts w:ascii="Verdana" w:hAnsi="Verdana"/>
          <w:sz w:val="20"/>
        </w:rPr>
        <w:softHyphen/>
        <w:t xml:space="preserve">tende CHOP, ICE, </w:t>
      </w:r>
      <w:proofErr w:type="spellStart"/>
      <w:r w:rsidRPr="002646AD">
        <w:rPr>
          <w:rFonts w:ascii="Verdana" w:hAnsi="Verdana"/>
          <w:sz w:val="20"/>
        </w:rPr>
        <w:t>Mitozantron</w:t>
      </w:r>
      <w:proofErr w:type="spellEnd"/>
      <w:r w:rsidRPr="002646AD">
        <w:rPr>
          <w:rFonts w:ascii="Verdana" w:hAnsi="Verdana"/>
          <w:sz w:val="20"/>
        </w:rPr>
        <w:t xml:space="preserve">, </w:t>
      </w:r>
      <w:proofErr w:type="spellStart"/>
      <w:r w:rsidRPr="002646AD">
        <w:rPr>
          <w:rFonts w:ascii="Verdana" w:hAnsi="Verdana"/>
          <w:sz w:val="20"/>
        </w:rPr>
        <w:t>Cytarabin</w:t>
      </w:r>
      <w:proofErr w:type="spellEnd"/>
      <w:r w:rsidRPr="002646AD">
        <w:rPr>
          <w:rFonts w:ascii="Verdana" w:hAnsi="Verdana"/>
          <w:sz w:val="20"/>
        </w:rPr>
        <w:t xml:space="preserve">, DVP, ATRA, </w:t>
      </w:r>
      <w:proofErr w:type="spellStart"/>
      <w:r w:rsidRPr="002646AD">
        <w:rPr>
          <w:rFonts w:ascii="Verdana" w:hAnsi="Verdana"/>
          <w:sz w:val="20"/>
        </w:rPr>
        <w:t>Idaru</w:t>
      </w:r>
      <w:r w:rsidRPr="002646AD">
        <w:rPr>
          <w:rFonts w:ascii="Verdana" w:hAnsi="Verdana"/>
          <w:sz w:val="20"/>
        </w:rPr>
        <w:softHyphen/>
        <w:t>bicin</w:t>
      </w:r>
      <w:proofErr w:type="spellEnd"/>
      <w:r w:rsidRPr="002646AD">
        <w:rPr>
          <w:rFonts w:ascii="Verdana" w:hAnsi="Verdana"/>
          <w:sz w:val="20"/>
        </w:rPr>
        <w:t xml:space="preserve">, </w:t>
      </w:r>
      <w:proofErr w:type="spellStart"/>
      <w:r w:rsidRPr="002646AD">
        <w:rPr>
          <w:rFonts w:ascii="Verdana" w:hAnsi="Verdana"/>
          <w:sz w:val="20"/>
        </w:rPr>
        <w:t>hoelzer</w:t>
      </w:r>
      <w:proofErr w:type="spellEnd"/>
      <w:r w:rsidRPr="002646AD">
        <w:rPr>
          <w:rFonts w:ascii="Verdana" w:hAnsi="Verdana"/>
          <w:sz w:val="20"/>
        </w:rPr>
        <w:t xml:space="preserve"> kjemoterapiregime, La </w:t>
      </w:r>
      <w:proofErr w:type="spellStart"/>
      <w:r w:rsidRPr="002646AD">
        <w:rPr>
          <w:rFonts w:ascii="Verdana" w:hAnsi="Verdana"/>
          <w:sz w:val="20"/>
        </w:rPr>
        <w:t>La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kjemoterapire</w:t>
      </w:r>
      <w:r w:rsidRPr="002646AD">
        <w:rPr>
          <w:rFonts w:ascii="Verdana" w:hAnsi="Verdana"/>
          <w:sz w:val="20"/>
        </w:rPr>
        <w:softHyphen/>
        <w:t>gime</w:t>
      </w:r>
      <w:proofErr w:type="spellEnd"/>
      <w:r w:rsidRPr="002646AD">
        <w:rPr>
          <w:rFonts w:ascii="Verdana" w:hAnsi="Verdana"/>
          <w:sz w:val="20"/>
        </w:rPr>
        <w:t>, ABVD, CEOP, 2-Cda, FLAG &amp; IDA med eller uten etter</w:t>
      </w:r>
      <w:r w:rsidRPr="002646AD">
        <w:rPr>
          <w:rFonts w:ascii="Verdana" w:hAnsi="Verdana"/>
          <w:sz w:val="20"/>
        </w:rPr>
        <w:softHyphen/>
        <w:t>følgende G-CSF-behandling), VAD, M &amp; P, C-</w:t>
      </w:r>
      <w:proofErr w:type="spellStart"/>
      <w:r w:rsidRPr="002646AD">
        <w:rPr>
          <w:rFonts w:ascii="Verdana" w:hAnsi="Verdana"/>
          <w:sz w:val="20"/>
        </w:rPr>
        <w:t>Weekly</w:t>
      </w:r>
      <w:proofErr w:type="spellEnd"/>
      <w:r w:rsidRPr="002646AD">
        <w:rPr>
          <w:rFonts w:ascii="Verdana" w:hAnsi="Verdana"/>
          <w:sz w:val="20"/>
        </w:rPr>
        <w:t>, ABCM, MOPP og DHAP.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Spesielt blir behandling av en pasient med et radiomerket antistoff etter et </w:t>
      </w:r>
      <w:proofErr w:type="spellStart"/>
      <w:r w:rsidRPr="002646AD">
        <w:rPr>
          <w:rFonts w:ascii="Verdana" w:hAnsi="Verdana"/>
          <w:sz w:val="20"/>
        </w:rPr>
        <w:t>kimerisk</w:t>
      </w:r>
      <w:proofErr w:type="spellEnd"/>
      <w:r w:rsidRPr="002646AD">
        <w:rPr>
          <w:rFonts w:ascii="Verdana" w:hAnsi="Verdana"/>
          <w:sz w:val="20"/>
        </w:rPr>
        <w:t xml:space="preserve"> antistoff utført hvorved det radiomerkede anti-CD20-antistoff admi</w:t>
      </w:r>
      <w:r w:rsidRPr="002646AD">
        <w:rPr>
          <w:rFonts w:ascii="Verdana" w:hAnsi="Verdana"/>
          <w:sz w:val="20"/>
        </w:rPr>
        <w:softHyphen/>
        <w:t xml:space="preserve">nistreres fra omkring 1 uke til omkring 2 år etter nevnte administrasjon av nevnte </w:t>
      </w:r>
      <w:proofErr w:type="spellStart"/>
      <w:r w:rsidRPr="002646AD">
        <w:rPr>
          <w:rFonts w:ascii="Verdana" w:hAnsi="Verdana"/>
          <w:sz w:val="20"/>
        </w:rPr>
        <w:t>kimeriske</w:t>
      </w:r>
      <w:proofErr w:type="spellEnd"/>
      <w:r w:rsidRPr="002646AD">
        <w:rPr>
          <w:rFonts w:ascii="Verdana" w:hAnsi="Verdana"/>
          <w:sz w:val="20"/>
        </w:rPr>
        <w:t xml:space="preserve"> anti-CD20-antistoff.  Mer spesielt blir det radiomerkede anti-CD20-antistoff ad</w:t>
      </w:r>
      <w:r w:rsidRPr="002646AD">
        <w:rPr>
          <w:rFonts w:ascii="Verdana" w:hAnsi="Verdana"/>
          <w:sz w:val="20"/>
        </w:rPr>
        <w:softHyphen/>
        <w:t>ministrert fra omkring 1 uke til omkring 9 måneder etter nevnte administrasjon av nevnte administrasjon av nevnte anti-CD20-antistoff.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Fagpersonen vil kjenne parameterne for å kjenne en spesiell type anti-CD20-antistoff.  For eksempel er </w:t>
      </w:r>
      <w:proofErr w:type="spellStart"/>
      <w:r w:rsidRPr="002646AD">
        <w:rPr>
          <w:rFonts w:ascii="Verdana" w:hAnsi="Verdana"/>
          <w:sz w:val="20"/>
        </w:rPr>
        <w:t>kimeriske</w:t>
      </w:r>
      <w:proofErr w:type="spellEnd"/>
      <w:r w:rsidRPr="002646AD">
        <w:rPr>
          <w:rFonts w:ascii="Verdana" w:hAnsi="Verdana"/>
          <w:sz w:val="20"/>
        </w:rPr>
        <w:t xml:space="preserve"> og hu</w:t>
      </w:r>
      <w:r w:rsidRPr="002646AD">
        <w:rPr>
          <w:rFonts w:ascii="Verdana" w:hAnsi="Verdana"/>
          <w:sz w:val="20"/>
        </w:rPr>
        <w:softHyphen/>
        <w:t xml:space="preserve">maniserte antistoff gunstige for minsket </w:t>
      </w:r>
      <w:proofErr w:type="spellStart"/>
      <w:r w:rsidRPr="002646AD">
        <w:rPr>
          <w:rFonts w:ascii="Verdana" w:hAnsi="Verdana"/>
          <w:sz w:val="20"/>
        </w:rPr>
        <w:t>immunogenisitet</w:t>
      </w:r>
      <w:proofErr w:type="spellEnd"/>
      <w:r w:rsidRPr="002646AD">
        <w:rPr>
          <w:rFonts w:ascii="Verdana" w:hAnsi="Verdana"/>
          <w:sz w:val="20"/>
        </w:rPr>
        <w:t xml:space="preserve"> og for å lette antistoff-</w:t>
      </w:r>
      <w:proofErr w:type="spellStart"/>
      <w:r w:rsidRPr="002646AD">
        <w:rPr>
          <w:rFonts w:ascii="Verdana" w:hAnsi="Verdana"/>
          <w:sz w:val="20"/>
        </w:rPr>
        <w:t>effektormedierte</w:t>
      </w:r>
      <w:proofErr w:type="spellEnd"/>
      <w:r w:rsidRPr="002646AD">
        <w:rPr>
          <w:rFonts w:ascii="Verdana" w:hAnsi="Verdana"/>
          <w:sz w:val="20"/>
        </w:rPr>
        <w:t xml:space="preserve"> immunreaksjoner via de humane, konstante områdedomener.  </w:t>
      </w:r>
      <w:proofErr w:type="spellStart"/>
      <w:r w:rsidRPr="002646AD">
        <w:rPr>
          <w:rFonts w:ascii="Verdana" w:hAnsi="Verdana"/>
          <w:sz w:val="20"/>
        </w:rPr>
        <w:t>Murine</w:t>
      </w:r>
      <w:proofErr w:type="spellEnd"/>
      <w:r w:rsidRPr="002646AD">
        <w:rPr>
          <w:rFonts w:ascii="Verdana" w:hAnsi="Verdana"/>
          <w:sz w:val="20"/>
        </w:rPr>
        <w:t xml:space="preserve"> og andre patte</w:t>
      </w:r>
      <w:r w:rsidRPr="002646AD">
        <w:rPr>
          <w:rFonts w:ascii="Verdana" w:hAnsi="Verdana"/>
          <w:sz w:val="20"/>
        </w:rPr>
        <w:softHyphen/>
        <w:t>dyr-antistoff er i motsetning til dette gunstige for å av</w:t>
      </w:r>
      <w:r w:rsidRPr="002646AD">
        <w:rPr>
          <w:rFonts w:ascii="Verdana" w:hAnsi="Verdana"/>
          <w:sz w:val="20"/>
        </w:rPr>
        <w:softHyphen/>
        <w:t xml:space="preserve">levere en radiomarkør til tumorcellen idet slike antistoff generelt har en minsket halveringstid </w:t>
      </w:r>
      <w:r w:rsidRPr="002646AD">
        <w:rPr>
          <w:rFonts w:ascii="Verdana" w:hAnsi="Verdana"/>
          <w:i/>
          <w:sz w:val="20"/>
        </w:rPr>
        <w:t>in vivo</w:t>
      </w:r>
      <w:r w:rsidRPr="002646AD">
        <w:rPr>
          <w:rFonts w:ascii="Verdana" w:hAnsi="Verdana"/>
          <w:sz w:val="20"/>
        </w:rPr>
        <w:t>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lastRenderedPageBreak/>
        <w:t xml:space="preserve">Antistoffbehandlinger utført initialt til hvilke pasienter er </w:t>
      </w:r>
      <w:proofErr w:type="spellStart"/>
      <w:r w:rsidRPr="002646AD">
        <w:rPr>
          <w:rFonts w:ascii="Verdana" w:hAnsi="Verdana"/>
          <w:sz w:val="20"/>
        </w:rPr>
        <w:t>refraktoriske</w:t>
      </w:r>
      <w:proofErr w:type="spellEnd"/>
      <w:r w:rsidRPr="002646AD">
        <w:rPr>
          <w:rFonts w:ascii="Verdana" w:hAnsi="Verdana"/>
          <w:sz w:val="20"/>
        </w:rPr>
        <w:t xml:space="preserve"> eller har fått tilbakefall</w:t>
      </w:r>
      <w:r w:rsidR="00893FE2">
        <w:rPr>
          <w:rFonts w:ascii="Verdana" w:hAnsi="Verdana"/>
          <w:sz w:val="20"/>
        </w:rPr>
        <w:t>,</w:t>
      </w:r>
      <w:r w:rsidRPr="002646AD">
        <w:rPr>
          <w:rFonts w:ascii="Verdana" w:hAnsi="Verdana"/>
          <w:sz w:val="20"/>
        </w:rPr>
        <w:t xml:space="preserve"> kan innbefatte initiale behandlinger med </w:t>
      </w:r>
      <w:proofErr w:type="spellStart"/>
      <w:r w:rsidRPr="002646AD">
        <w:rPr>
          <w:rFonts w:ascii="Verdana" w:hAnsi="Verdana"/>
          <w:sz w:val="20"/>
        </w:rPr>
        <w:t>kimeriske</w:t>
      </w:r>
      <w:proofErr w:type="spellEnd"/>
      <w:r w:rsidRPr="002646AD">
        <w:rPr>
          <w:rFonts w:ascii="Verdana" w:hAnsi="Verdana"/>
          <w:sz w:val="20"/>
        </w:rPr>
        <w:t xml:space="preserve"> antistoff eller patte</w:t>
      </w:r>
      <w:r w:rsidRPr="002646AD">
        <w:rPr>
          <w:rFonts w:ascii="Verdana" w:hAnsi="Verdana"/>
          <w:sz w:val="20"/>
        </w:rPr>
        <w:softHyphen/>
        <w:t>dyr-antistoff.  Også omfattet er initiale behandlinger med andre antistoff innbefattende anti-CD20-antistoff og anti-</w:t>
      </w:r>
      <w:proofErr w:type="spellStart"/>
      <w:r w:rsidRPr="002646AD">
        <w:rPr>
          <w:rFonts w:ascii="Verdana" w:hAnsi="Verdana"/>
          <w:sz w:val="20"/>
        </w:rPr>
        <w:t>Lym</w:t>
      </w:r>
      <w:proofErr w:type="spellEnd"/>
      <w:r w:rsidRPr="002646AD">
        <w:rPr>
          <w:rFonts w:ascii="Verdana" w:hAnsi="Verdana"/>
          <w:sz w:val="20"/>
        </w:rPr>
        <w:t xml:space="preserve">-antistoff og behandlinger med antistoff merket med </w:t>
      </w:r>
      <w:proofErr w:type="spellStart"/>
      <w:r w:rsidRPr="002646AD">
        <w:rPr>
          <w:rFonts w:ascii="Verdana" w:hAnsi="Verdana"/>
          <w:sz w:val="20"/>
        </w:rPr>
        <w:t>cy</w:t>
      </w:r>
      <w:r w:rsidRPr="002646AD">
        <w:rPr>
          <w:rFonts w:ascii="Verdana" w:hAnsi="Verdana"/>
          <w:sz w:val="20"/>
        </w:rPr>
        <w:softHyphen/>
        <w:t>totoksiske</w:t>
      </w:r>
      <w:proofErr w:type="spellEnd"/>
      <w:r w:rsidRPr="002646AD">
        <w:rPr>
          <w:rFonts w:ascii="Verdana" w:hAnsi="Verdana"/>
          <w:sz w:val="20"/>
        </w:rPr>
        <w:t xml:space="preserve"> egenskaper så som toksiner, og radiomarkører, for eksempel </w:t>
      </w:r>
      <w:proofErr w:type="spellStart"/>
      <w:r w:rsidRPr="002646AD">
        <w:rPr>
          <w:rFonts w:ascii="Verdana" w:hAnsi="Verdana"/>
          <w:sz w:val="20"/>
        </w:rPr>
        <w:t>Oncolym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>(</w:t>
      </w:r>
      <w:proofErr w:type="spellStart"/>
      <w:r w:rsidRPr="002646AD">
        <w:rPr>
          <w:rFonts w:ascii="Verdana" w:hAnsi="Verdana"/>
          <w:sz w:val="20"/>
        </w:rPr>
        <w:t>Techniclone</w:t>
      </w:r>
      <w:proofErr w:type="spellEnd"/>
      <w:r w:rsidRPr="002646AD">
        <w:rPr>
          <w:rFonts w:ascii="Verdana" w:hAnsi="Verdana"/>
          <w:sz w:val="20"/>
        </w:rPr>
        <w:t xml:space="preserve">) eller </w:t>
      </w:r>
      <w:proofErr w:type="spellStart"/>
      <w:r w:rsidRPr="002646AD">
        <w:rPr>
          <w:rFonts w:ascii="Verdana" w:hAnsi="Verdana"/>
          <w:sz w:val="20"/>
        </w:rPr>
        <w:t>Bexxar</w:t>
      </w:r>
      <w:proofErr w:type="spellEnd"/>
      <w:r w:rsidRPr="002646AD">
        <w:rPr>
          <w:rFonts w:ascii="Verdana" w:hAnsi="Verdana"/>
          <w:sz w:val="20"/>
        </w:rPr>
        <w:t>(</w:t>
      </w:r>
      <w:proofErr w:type="spellStart"/>
      <w:r w:rsidRPr="002646AD">
        <w:rPr>
          <w:rFonts w:ascii="Verdana" w:hAnsi="Verdana"/>
          <w:sz w:val="20"/>
        </w:rPr>
        <w:t>Coulter</w:t>
      </w:r>
      <w:proofErr w:type="spellEnd"/>
      <w:r w:rsidRPr="002646AD">
        <w:rPr>
          <w:rFonts w:ascii="Verdana" w:hAnsi="Verdana"/>
          <w:sz w:val="20"/>
        </w:rPr>
        <w:t>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Det bør være klart at de kombinerte terapeutiske regimer kan bli utført hvorved nevnte behandlinger blir gitt samtidig, (dvs. anti-CD20-antistoffet administreres samtidig eller innen samme tids</w:t>
      </w:r>
      <w:r w:rsidRPr="002646AD">
        <w:rPr>
          <w:rFonts w:ascii="Verdana" w:hAnsi="Verdana"/>
          <w:sz w:val="20"/>
        </w:rPr>
        <w:softHyphen/>
        <w:t>ramme, dvs. behandlingene pågår samtidig, men stoffene blir ikke administrert nøyaktig på samme tid).  Anti-CD20-anti</w:t>
      </w:r>
      <w:r w:rsidRPr="002646AD">
        <w:rPr>
          <w:rFonts w:ascii="Verdana" w:hAnsi="Verdana"/>
          <w:sz w:val="20"/>
        </w:rPr>
        <w:softHyphen/>
        <w:t>stoffene kan også bli admi</w:t>
      </w:r>
      <w:r w:rsidRPr="002646AD">
        <w:rPr>
          <w:rFonts w:ascii="Verdana" w:hAnsi="Verdana"/>
          <w:sz w:val="20"/>
        </w:rPr>
        <w:softHyphen/>
        <w:t>nistrert før eller etter de andre behandlinger.  Sekvensi</w:t>
      </w:r>
      <w:r w:rsidRPr="002646AD">
        <w:rPr>
          <w:rFonts w:ascii="Verdana" w:hAnsi="Verdana"/>
          <w:sz w:val="20"/>
        </w:rPr>
        <w:softHyphen/>
        <w:t>ell administrasjon kan bli utført uavhengig om hvorvidt pa</w:t>
      </w:r>
      <w:r w:rsidRPr="002646AD">
        <w:rPr>
          <w:rFonts w:ascii="Verdana" w:hAnsi="Verdana"/>
          <w:sz w:val="20"/>
        </w:rPr>
        <w:softHyphen/>
        <w:t>sienten reagerer på første terapi for å minske muligheten for remisjon eller tilbakefall.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De kombinerte behandlinger innbefatter en fremgangsmåte for å behandle B-celle-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omfattende å administrere minst et </w:t>
      </w:r>
      <w:proofErr w:type="spellStart"/>
      <w:r w:rsidRPr="002646AD">
        <w:rPr>
          <w:rFonts w:ascii="Verdana" w:hAnsi="Verdana"/>
          <w:sz w:val="20"/>
        </w:rPr>
        <w:t>kimerisk</w:t>
      </w:r>
      <w:proofErr w:type="spellEnd"/>
      <w:r w:rsidRPr="002646AD">
        <w:rPr>
          <w:rFonts w:ascii="Verdana" w:hAnsi="Verdana"/>
          <w:sz w:val="20"/>
        </w:rPr>
        <w:t xml:space="preserve"> anti-CD20-anti</w:t>
      </w:r>
      <w:r w:rsidRPr="002646AD">
        <w:rPr>
          <w:rFonts w:ascii="Verdana" w:hAnsi="Verdana"/>
          <w:sz w:val="20"/>
        </w:rPr>
        <w:softHyphen/>
        <w:t>stoff</w:t>
      </w:r>
      <w:r w:rsidR="00893FE2">
        <w:rPr>
          <w:rFonts w:ascii="Verdana" w:hAnsi="Verdana"/>
          <w:sz w:val="20"/>
        </w:rPr>
        <w:t xml:space="preserve"> samt minst et cytokin. </w:t>
      </w:r>
      <w:r w:rsidRPr="002646AD">
        <w:rPr>
          <w:rFonts w:ascii="Verdana" w:hAnsi="Verdana"/>
          <w:sz w:val="20"/>
        </w:rPr>
        <w:t xml:space="preserve">Foretrukne cytokiner er valgt fra gruppen omfattende </w:t>
      </w:r>
      <w:proofErr w:type="spellStart"/>
      <w:r w:rsidRPr="002646AD">
        <w:rPr>
          <w:rFonts w:ascii="Verdana" w:hAnsi="Verdana"/>
          <w:sz w:val="20"/>
        </w:rPr>
        <w:t>al</w:t>
      </w:r>
      <w:r w:rsidRPr="002646AD">
        <w:rPr>
          <w:rFonts w:ascii="Verdana" w:hAnsi="Verdana"/>
          <w:sz w:val="20"/>
        </w:rPr>
        <w:softHyphen/>
        <w:t>fainterferon</w:t>
      </w:r>
      <w:proofErr w:type="spellEnd"/>
      <w:r w:rsidRPr="002646AD">
        <w:rPr>
          <w:rFonts w:ascii="Verdana" w:hAnsi="Verdana"/>
          <w:sz w:val="20"/>
        </w:rPr>
        <w:t xml:space="preserve">, gammainterferon, IL-2, GM-CSF og G-CSF.  Igjen kan anti-CD20-antistoffet og </w:t>
      </w:r>
      <w:proofErr w:type="spellStart"/>
      <w:r w:rsidRPr="002646AD">
        <w:rPr>
          <w:rFonts w:ascii="Verdana" w:hAnsi="Verdana"/>
          <w:sz w:val="20"/>
        </w:rPr>
        <w:t>cytokinet</w:t>
      </w:r>
      <w:proofErr w:type="spellEnd"/>
      <w:r w:rsidRPr="002646AD">
        <w:rPr>
          <w:rFonts w:ascii="Verdana" w:hAnsi="Verdana"/>
          <w:sz w:val="20"/>
        </w:rPr>
        <w:t>(er) bli admi</w:t>
      </w:r>
      <w:r w:rsidRPr="002646AD">
        <w:rPr>
          <w:rFonts w:ascii="Verdana" w:hAnsi="Verdana"/>
          <w:sz w:val="20"/>
        </w:rPr>
        <w:softHyphen/>
        <w:t>nistrert sekvensielt i hver rekkefølge eller i kombinasjon.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Det bør bli forstått at stamcelletransplantater kan være allogene eller </w:t>
      </w:r>
      <w:proofErr w:type="spellStart"/>
      <w:r w:rsidRPr="002646AD">
        <w:rPr>
          <w:rFonts w:ascii="Verdana" w:hAnsi="Verdana"/>
          <w:sz w:val="20"/>
        </w:rPr>
        <w:t>autologe</w:t>
      </w:r>
      <w:proofErr w:type="spellEnd"/>
      <w:r w:rsidRPr="002646AD">
        <w:rPr>
          <w:rFonts w:ascii="Verdana" w:hAnsi="Verdana"/>
          <w:sz w:val="20"/>
        </w:rPr>
        <w:t>.  Dersom transplantatet er allo</w:t>
      </w:r>
      <w:r w:rsidRPr="002646AD">
        <w:rPr>
          <w:rFonts w:ascii="Verdana" w:hAnsi="Verdana"/>
          <w:sz w:val="20"/>
        </w:rPr>
        <w:softHyphen/>
        <w:t>gent, dvs. fra en annen person, kan de beskrevne terapeu</w:t>
      </w:r>
      <w:r w:rsidRPr="002646AD">
        <w:rPr>
          <w:rFonts w:ascii="Verdana" w:hAnsi="Verdana"/>
          <w:sz w:val="20"/>
        </w:rPr>
        <w:softHyphen/>
        <w:t xml:space="preserve">tiske regimer innbefatte behandlinger med </w:t>
      </w:r>
      <w:proofErr w:type="spellStart"/>
      <w:r w:rsidRPr="002646AD">
        <w:rPr>
          <w:rFonts w:ascii="Verdana" w:hAnsi="Verdana"/>
          <w:sz w:val="20"/>
        </w:rPr>
        <w:t>immunosuppresive</w:t>
      </w:r>
      <w:proofErr w:type="spellEnd"/>
      <w:r w:rsidRPr="002646AD">
        <w:rPr>
          <w:rFonts w:ascii="Verdana" w:hAnsi="Verdana"/>
          <w:sz w:val="20"/>
        </w:rPr>
        <w:t xml:space="preserve"> medikamenter før administrasjon av anti-CD20-antistoffene.  Samtidig administrasjon av andre medikamenter utformet til å forsterke godkjennelsen av transplantatet og stimulere produksjonen og differensieringen av immunceller er også påtenkt.  For eksempel har det blitt vist at administrasjon av GM-CSF til mottakere av benmargstransplantat fremmer ut</w:t>
      </w:r>
      <w:r w:rsidRPr="002646AD">
        <w:rPr>
          <w:rFonts w:ascii="Verdana" w:hAnsi="Verdana"/>
          <w:sz w:val="20"/>
        </w:rPr>
        <w:softHyphen/>
        <w:t>viklingen av spesifikke benmargsceller som i sin tur produ</w:t>
      </w:r>
      <w:r w:rsidRPr="002646AD">
        <w:rPr>
          <w:rFonts w:ascii="Verdana" w:hAnsi="Verdana"/>
          <w:sz w:val="20"/>
        </w:rPr>
        <w:softHyphen/>
        <w:t xml:space="preserve">serer sirkulerende infeksjonsbekjempende </w:t>
      </w:r>
      <w:proofErr w:type="spellStart"/>
      <w:r w:rsidRPr="002646AD">
        <w:rPr>
          <w:rFonts w:ascii="Verdana" w:hAnsi="Verdana"/>
          <w:sz w:val="20"/>
        </w:rPr>
        <w:t>neutrofiler</w:t>
      </w:r>
      <w:proofErr w:type="spellEnd"/>
      <w:r w:rsidRPr="002646AD">
        <w:rPr>
          <w:rFonts w:ascii="Verdana" w:hAnsi="Verdana"/>
          <w:sz w:val="20"/>
        </w:rPr>
        <w:t xml:space="preserve"> og øket overlevelsesgrad av mottakere for margtransplantat.</w:t>
      </w:r>
    </w:p>
    <w:p w:rsidR="001003C4" w:rsidRPr="002646AD" w:rsidRDefault="00893FE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Medikamentene </w:t>
      </w:r>
      <w:proofErr w:type="spellStart"/>
      <w:r>
        <w:rPr>
          <w:rFonts w:ascii="Verdana" w:hAnsi="Verdana"/>
          <w:sz w:val="20"/>
        </w:rPr>
        <w:t>frmstilt</w:t>
      </w:r>
      <w:proofErr w:type="spellEnd"/>
      <w:r>
        <w:rPr>
          <w:rFonts w:ascii="Verdana" w:hAnsi="Verdana"/>
          <w:sz w:val="20"/>
        </w:rPr>
        <w:t xml:space="preserve"> ved anvendelsen </w:t>
      </w:r>
      <w:r w:rsidR="001003C4" w:rsidRPr="002646AD">
        <w:rPr>
          <w:rFonts w:ascii="Verdana" w:hAnsi="Verdana"/>
          <w:sz w:val="20"/>
        </w:rPr>
        <w:t>ifølge foreliggende oppfinnelse kan bli brukt til å behandle B-celle-</w:t>
      </w:r>
      <w:proofErr w:type="spellStart"/>
      <w:r w:rsidR="001003C4" w:rsidRPr="002646AD">
        <w:rPr>
          <w:rFonts w:ascii="Verdana" w:hAnsi="Verdana"/>
          <w:sz w:val="20"/>
        </w:rPr>
        <w:t>lymfomer</w:t>
      </w:r>
      <w:proofErr w:type="spellEnd"/>
      <w:r w:rsidR="001003C4" w:rsidRPr="002646AD">
        <w:rPr>
          <w:rFonts w:ascii="Verdana" w:hAnsi="Verdana"/>
          <w:sz w:val="20"/>
        </w:rPr>
        <w:t xml:space="preserve"> innbefat</w:t>
      </w:r>
      <w:r w:rsidR="001003C4" w:rsidRPr="002646AD">
        <w:rPr>
          <w:rFonts w:ascii="Verdana" w:hAnsi="Verdana"/>
          <w:sz w:val="20"/>
        </w:rPr>
        <w:softHyphen/>
        <w:t xml:space="preserve">tende </w:t>
      </w:r>
      <w:proofErr w:type="spellStart"/>
      <w:r w:rsidR="001003C4" w:rsidRPr="002646AD">
        <w:rPr>
          <w:rFonts w:ascii="Verdana" w:hAnsi="Verdana"/>
          <w:sz w:val="20"/>
        </w:rPr>
        <w:t>lavgrad</w:t>
      </w:r>
      <w:proofErr w:type="spellEnd"/>
      <w:r w:rsidR="001003C4" w:rsidRPr="002646AD">
        <w:rPr>
          <w:rFonts w:ascii="Verdana" w:hAnsi="Verdana"/>
          <w:sz w:val="20"/>
        </w:rPr>
        <w:t>/follik</w:t>
      </w:r>
      <w:r>
        <w:rPr>
          <w:rFonts w:ascii="Verdana" w:hAnsi="Verdana"/>
          <w:sz w:val="20"/>
        </w:rPr>
        <w:t>ulær non-</w:t>
      </w:r>
      <w:proofErr w:type="spellStart"/>
      <w:r>
        <w:rPr>
          <w:rFonts w:ascii="Verdana" w:hAnsi="Verdana"/>
          <w:sz w:val="20"/>
        </w:rPr>
        <w:t>Hodgkins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lymfom</w:t>
      </w:r>
      <w:proofErr w:type="spellEnd"/>
      <w:r>
        <w:rPr>
          <w:rFonts w:ascii="Verdana" w:hAnsi="Verdana"/>
          <w:sz w:val="20"/>
        </w:rPr>
        <w:t xml:space="preserve"> (NHL).</w:t>
      </w:r>
      <w:r w:rsidR="001003C4" w:rsidRPr="002646AD">
        <w:rPr>
          <w:rFonts w:ascii="Verdana" w:hAnsi="Verdana"/>
          <w:sz w:val="20"/>
        </w:rPr>
        <w:t xml:space="preserve"> Det bør være klart for </w:t>
      </w:r>
      <w:proofErr w:type="spellStart"/>
      <w:r w:rsidR="001003C4" w:rsidRPr="002646AD">
        <w:rPr>
          <w:rFonts w:ascii="Verdana" w:hAnsi="Verdana"/>
          <w:sz w:val="20"/>
        </w:rPr>
        <w:t>fagperso</w:t>
      </w:r>
      <w:r>
        <w:rPr>
          <w:rFonts w:ascii="Verdana" w:hAnsi="Verdana"/>
          <w:sz w:val="20"/>
        </w:rPr>
        <w:t>nsen</w:t>
      </w:r>
      <w:proofErr w:type="spellEnd"/>
      <w:r>
        <w:rPr>
          <w:rFonts w:ascii="Verdana" w:hAnsi="Verdana"/>
          <w:sz w:val="20"/>
        </w:rPr>
        <w:t xml:space="preserve"> at disse </w:t>
      </w:r>
      <w:proofErr w:type="spellStart"/>
      <w:r>
        <w:rPr>
          <w:rFonts w:ascii="Verdana" w:hAnsi="Verdana"/>
          <w:sz w:val="20"/>
        </w:rPr>
        <w:t>lymfomer</w:t>
      </w:r>
      <w:proofErr w:type="spellEnd"/>
      <w:r>
        <w:rPr>
          <w:rFonts w:ascii="Verdana" w:hAnsi="Verdana"/>
          <w:sz w:val="20"/>
        </w:rPr>
        <w:t xml:space="preserve"> kan </w:t>
      </w:r>
      <w:r w:rsidR="001003C4" w:rsidRPr="002646AD">
        <w:rPr>
          <w:rFonts w:ascii="Verdana" w:hAnsi="Verdana"/>
          <w:sz w:val="20"/>
        </w:rPr>
        <w:t>ha forskjellige navn grunnet endring i klassifi</w:t>
      </w:r>
      <w:r w:rsidR="001003C4" w:rsidRPr="002646AD">
        <w:rPr>
          <w:rFonts w:ascii="Verdana" w:hAnsi="Verdana"/>
          <w:sz w:val="20"/>
        </w:rPr>
        <w:softHyphen/>
        <w:t xml:space="preserve">seringssystemer og at pasienter som </w:t>
      </w:r>
      <w:r w:rsidR="001003C4" w:rsidRPr="002646AD">
        <w:rPr>
          <w:rFonts w:ascii="Verdana" w:hAnsi="Verdana"/>
          <w:sz w:val="20"/>
        </w:rPr>
        <w:lastRenderedPageBreak/>
        <w:t xml:space="preserve">har </w:t>
      </w:r>
      <w:proofErr w:type="spellStart"/>
      <w:r w:rsidR="001003C4" w:rsidRPr="002646AD">
        <w:rPr>
          <w:rFonts w:ascii="Verdana" w:hAnsi="Verdana"/>
          <w:sz w:val="20"/>
        </w:rPr>
        <w:t>lymfomer</w:t>
      </w:r>
      <w:proofErr w:type="spellEnd"/>
      <w:r w:rsidR="001003C4" w:rsidRPr="002646AD">
        <w:rPr>
          <w:rFonts w:ascii="Verdana" w:hAnsi="Verdana"/>
          <w:sz w:val="20"/>
        </w:rPr>
        <w:t xml:space="preserve"> klassifi</w:t>
      </w:r>
      <w:r w:rsidR="001003C4" w:rsidRPr="002646AD">
        <w:rPr>
          <w:rFonts w:ascii="Verdana" w:hAnsi="Verdana"/>
          <w:sz w:val="20"/>
        </w:rPr>
        <w:softHyphen/>
        <w:t>sert under forskjellige navn også kan nyte fordeler av de kombinerte terapeutiske regimer.</w:t>
      </w:r>
    </w:p>
    <w:p w:rsidR="00893FE2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For eksempel blir et nytt klassifiseringssystem foreslått av European and American </w:t>
      </w:r>
      <w:proofErr w:type="spellStart"/>
      <w:r w:rsidRPr="002646AD">
        <w:rPr>
          <w:rFonts w:ascii="Verdana" w:hAnsi="Verdana"/>
          <w:sz w:val="20"/>
        </w:rPr>
        <w:t>pathologists</w:t>
      </w:r>
      <w:proofErr w:type="spellEnd"/>
      <w:r w:rsidRPr="002646AD">
        <w:rPr>
          <w:rFonts w:ascii="Verdana" w:hAnsi="Verdana"/>
          <w:sz w:val="20"/>
        </w:rPr>
        <w:t xml:space="preserve"> kalt </w:t>
      </w:r>
      <w:proofErr w:type="spellStart"/>
      <w:r w:rsidRPr="002646AD">
        <w:rPr>
          <w:rFonts w:ascii="Verdana" w:hAnsi="Verdana"/>
          <w:sz w:val="20"/>
        </w:rPr>
        <w:t>the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Revised</w:t>
      </w:r>
      <w:proofErr w:type="spellEnd"/>
      <w:r w:rsidRPr="002646AD">
        <w:rPr>
          <w:rFonts w:ascii="Verdana" w:hAnsi="Verdana"/>
          <w:sz w:val="20"/>
        </w:rPr>
        <w:t xml:space="preserve"> European American </w:t>
      </w:r>
      <w:proofErr w:type="spellStart"/>
      <w:r w:rsidRPr="002646AD">
        <w:rPr>
          <w:rFonts w:ascii="Verdana" w:hAnsi="Verdana"/>
          <w:sz w:val="20"/>
        </w:rPr>
        <w:t>Lymphoma</w:t>
      </w:r>
      <w:proofErr w:type="spellEnd"/>
      <w:r w:rsidRPr="002646AD">
        <w:rPr>
          <w:rFonts w:ascii="Verdana" w:hAnsi="Verdana"/>
          <w:sz w:val="20"/>
        </w:rPr>
        <w:t xml:space="preserve"> (REAL) </w:t>
      </w:r>
      <w:proofErr w:type="spellStart"/>
      <w:r w:rsidRPr="002646AD">
        <w:rPr>
          <w:rFonts w:ascii="Verdana" w:hAnsi="Verdana"/>
          <w:sz w:val="20"/>
        </w:rPr>
        <w:t>Classification</w:t>
      </w:r>
      <w:proofErr w:type="spellEnd"/>
      <w:r w:rsidRPr="002646AD">
        <w:rPr>
          <w:rFonts w:ascii="Verdana" w:hAnsi="Verdana"/>
          <w:sz w:val="20"/>
        </w:rPr>
        <w:t xml:space="preserve">.  Dette klassifiseringssystem gjenkjenner </w:t>
      </w:r>
      <w:proofErr w:type="spellStart"/>
      <w:r w:rsidRPr="002646AD">
        <w:rPr>
          <w:rFonts w:ascii="Verdana" w:hAnsi="Verdana"/>
          <w:sz w:val="20"/>
        </w:rPr>
        <w:t>mantelcellelymfom</w:t>
      </w:r>
      <w:proofErr w:type="spellEnd"/>
      <w:r w:rsidRPr="002646AD">
        <w:rPr>
          <w:rFonts w:ascii="Verdana" w:hAnsi="Verdana"/>
          <w:sz w:val="20"/>
        </w:rPr>
        <w:t xml:space="preserve"> og </w:t>
      </w:r>
      <w:proofErr w:type="spellStart"/>
      <w:r w:rsidRPr="002646AD">
        <w:rPr>
          <w:rFonts w:ascii="Verdana" w:hAnsi="Verdana"/>
          <w:sz w:val="20"/>
        </w:rPr>
        <w:t>mar</w:t>
      </w:r>
      <w:r w:rsidRPr="002646AD">
        <w:rPr>
          <w:rFonts w:ascii="Verdana" w:hAnsi="Verdana"/>
          <w:sz w:val="20"/>
        </w:rPr>
        <w:softHyphen/>
        <w:t>ginalcellelymfom</w:t>
      </w:r>
      <w:proofErr w:type="spellEnd"/>
      <w:r w:rsidRPr="002646AD">
        <w:rPr>
          <w:rFonts w:ascii="Verdana" w:hAnsi="Verdana"/>
          <w:sz w:val="20"/>
        </w:rPr>
        <w:t xml:space="preserve"> blant andre perifere B-celle neoplasmer og skiller enkelte klassifiseringer i grader basert på cyto</w:t>
      </w:r>
      <w:r w:rsidRPr="002646AD">
        <w:rPr>
          <w:rFonts w:ascii="Verdana" w:hAnsi="Verdana"/>
          <w:sz w:val="20"/>
        </w:rPr>
        <w:softHyphen/>
        <w:t xml:space="preserve">logi, dvs. småcelle, blandet små og stor celle.  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U.S. National Cancer </w:t>
      </w:r>
      <w:proofErr w:type="spellStart"/>
      <w:r w:rsidRPr="002646AD">
        <w:rPr>
          <w:rFonts w:ascii="Verdana" w:hAnsi="Verdana"/>
          <w:sz w:val="20"/>
        </w:rPr>
        <w:t>Institute</w:t>
      </w:r>
      <w:proofErr w:type="spellEnd"/>
      <w:r w:rsidRPr="002646AD">
        <w:rPr>
          <w:rFonts w:ascii="Verdana" w:hAnsi="Verdana"/>
          <w:sz w:val="20"/>
        </w:rPr>
        <w:t xml:space="preserve"> (NCI) har i sin tur oppdelt enkelte av REAL-klassene i mer klinisk anvendelige "indo</w:t>
      </w:r>
      <w:r w:rsidRPr="002646AD">
        <w:rPr>
          <w:rFonts w:ascii="Verdana" w:hAnsi="Verdana"/>
          <w:sz w:val="20"/>
        </w:rPr>
        <w:softHyphen/>
        <w:t>lente" eller "</w:t>
      </w:r>
      <w:proofErr w:type="spellStart"/>
      <w:r w:rsidRPr="002646AD">
        <w:rPr>
          <w:rFonts w:ascii="Verdana" w:hAnsi="Verdana"/>
          <w:sz w:val="20"/>
        </w:rPr>
        <w:t>aggresive</w:t>
      </w:r>
      <w:proofErr w:type="spellEnd"/>
      <w:r w:rsidRPr="002646AD">
        <w:rPr>
          <w:rFonts w:ascii="Verdana" w:hAnsi="Verdana"/>
          <w:sz w:val="20"/>
        </w:rPr>
        <w:t xml:space="preserve">" </w:t>
      </w:r>
      <w:proofErr w:type="spellStart"/>
      <w:r w:rsidRPr="002646AD">
        <w:rPr>
          <w:rFonts w:ascii="Verdana" w:hAnsi="Verdana"/>
          <w:sz w:val="20"/>
        </w:rPr>
        <w:t>lymfombetegnelser</w:t>
      </w:r>
      <w:proofErr w:type="spellEnd"/>
      <w:r w:rsidRPr="002646AD">
        <w:rPr>
          <w:rFonts w:ascii="Verdana" w:hAnsi="Verdana"/>
          <w:sz w:val="20"/>
        </w:rPr>
        <w:t xml:space="preserve">.  Indolente </w:t>
      </w:r>
      <w:proofErr w:type="spellStart"/>
      <w:r w:rsidRPr="002646AD">
        <w:rPr>
          <w:rFonts w:ascii="Verdana" w:hAnsi="Verdana"/>
          <w:sz w:val="20"/>
        </w:rPr>
        <w:t>lym</w:t>
      </w:r>
      <w:r w:rsidRPr="002646AD">
        <w:rPr>
          <w:rFonts w:ascii="Verdana" w:hAnsi="Verdana"/>
          <w:sz w:val="20"/>
        </w:rPr>
        <w:softHyphen/>
        <w:t>fomer</w:t>
      </w:r>
      <w:proofErr w:type="spellEnd"/>
      <w:r w:rsidRPr="002646AD">
        <w:rPr>
          <w:rFonts w:ascii="Verdana" w:hAnsi="Verdana"/>
          <w:sz w:val="20"/>
        </w:rPr>
        <w:t xml:space="preserve"> innbefatter follikulære </w:t>
      </w:r>
      <w:proofErr w:type="spellStart"/>
      <w:r w:rsidRPr="002646AD">
        <w:rPr>
          <w:rFonts w:ascii="Verdana" w:hAnsi="Verdana"/>
          <w:sz w:val="20"/>
        </w:rPr>
        <w:t>cellelymfomer</w:t>
      </w:r>
      <w:proofErr w:type="spellEnd"/>
      <w:r w:rsidRPr="002646AD">
        <w:rPr>
          <w:rFonts w:ascii="Verdana" w:hAnsi="Verdana"/>
          <w:sz w:val="20"/>
        </w:rPr>
        <w:t xml:space="preserve"> adskilt i </w:t>
      </w:r>
      <w:proofErr w:type="spellStart"/>
      <w:r w:rsidRPr="002646AD">
        <w:rPr>
          <w:rFonts w:ascii="Verdana" w:hAnsi="Verdana"/>
          <w:sz w:val="20"/>
        </w:rPr>
        <w:t>cyto</w:t>
      </w:r>
      <w:r w:rsidRPr="002646AD">
        <w:rPr>
          <w:rFonts w:ascii="Verdana" w:hAnsi="Verdana"/>
          <w:sz w:val="20"/>
        </w:rPr>
        <w:softHyphen/>
        <w:t>logi"grader</w:t>
      </w:r>
      <w:proofErr w:type="spellEnd"/>
      <w:r w:rsidRPr="002646AD">
        <w:rPr>
          <w:rFonts w:ascii="Verdana" w:hAnsi="Verdana"/>
          <w:sz w:val="20"/>
        </w:rPr>
        <w:t xml:space="preserve">", diffus små </w:t>
      </w:r>
      <w:proofErr w:type="spellStart"/>
      <w:r w:rsidRPr="002646AD">
        <w:rPr>
          <w:rFonts w:ascii="Verdana" w:hAnsi="Verdana"/>
          <w:sz w:val="20"/>
        </w:rPr>
        <w:t>lymfocytisk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/kronisk </w:t>
      </w:r>
      <w:proofErr w:type="spellStart"/>
      <w:r w:rsidRPr="002646AD">
        <w:rPr>
          <w:rFonts w:ascii="Verdana" w:hAnsi="Verdana"/>
          <w:sz w:val="20"/>
        </w:rPr>
        <w:t>lymfo</w:t>
      </w:r>
      <w:r w:rsidRPr="002646AD">
        <w:rPr>
          <w:rFonts w:ascii="Verdana" w:hAnsi="Verdana"/>
          <w:sz w:val="20"/>
        </w:rPr>
        <w:softHyphen/>
        <w:t>cytisk</w:t>
      </w:r>
      <w:proofErr w:type="spellEnd"/>
      <w:r w:rsidRPr="002646AD">
        <w:rPr>
          <w:rFonts w:ascii="Verdana" w:hAnsi="Verdana"/>
          <w:sz w:val="20"/>
        </w:rPr>
        <w:t xml:space="preserve"> leukemi (CLL), </w:t>
      </w:r>
      <w:proofErr w:type="spellStart"/>
      <w:r w:rsidRPr="002646AD">
        <w:rPr>
          <w:rFonts w:ascii="Verdana" w:hAnsi="Verdana"/>
          <w:sz w:val="20"/>
        </w:rPr>
        <w:t>lymfoplasmacytoid</w:t>
      </w:r>
      <w:proofErr w:type="spellEnd"/>
      <w:r w:rsidRPr="002646AD">
        <w:rPr>
          <w:rFonts w:ascii="Verdana" w:hAnsi="Verdana"/>
          <w:sz w:val="20"/>
        </w:rPr>
        <w:t>/</w:t>
      </w:r>
      <w:proofErr w:type="spellStart"/>
      <w:r w:rsidRPr="002646AD">
        <w:rPr>
          <w:rFonts w:ascii="Verdana" w:hAnsi="Verdana"/>
          <w:sz w:val="20"/>
        </w:rPr>
        <w:t>Waldenstrøms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Makro</w:t>
      </w:r>
      <w:r w:rsidRPr="002646AD">
        <w:rPr>
          <w:rFonts w:ascii="Verdana" w:hAnsi="Verdana"/>
          <w:sz w:val="20"/>
        </w:rPr>
        <w:softHyphen/>
        <w:t>globulinemia</w:t>
      </w:r>
      <w:proofErr w:type="spellEnd"/>
      <w:r w:rsidRPr="002646AD">
        <w:rPr>
          <w:rFonts w:ascii="Verdana" w:hAnsi="Verdana"/>
          <w:sz w:val="20"/>
        </w:rPr>
        <w:t xml:space="preserve">, </w:t>
      </w:r>
      <w:proofErr w:type="spellStart"/>
      <w:r w:rsidRPr="002646AD">
        <w:rPr>
          <w:rFonts w:ascii="Verdana" w:hAnsi="Verdana"/>
          <w:sz w:val="20"/>
        </w:rPr>
        <w:t>Marginalsonelymfom</w:t>
      </w:r>
      <w:proofErr w:type="spellEnd"/>
      <w:r w:rsidRPr="002646AD">
        <w:rPr>
          <w:rFonts w:ascii="Verdana" w:hAnsi="Verdana"/>
          <w:sz w:val="20"/>
        </w:rPr>
        <w:t xml:space="preserve"> og hårcelleleukemi.  </w:t>
      </w:r>
      <w:proofErr w:type="spellStart"/>
      <w:r w:rsidRPr="002646AD">
        <w:rPr>
          <w:rFonts w:ascii="Verdana" w:hAnsi="Verdana"/>
          <w:sz w:val="20"/>
        </w:rPr>
        <w:t>Ag</w:t>
      </w:r>
      <w:r w:rsidRPr="002646AD">
        <w:rPr>
          <w:rFonts w:ascii="Verdana" w:hAnsi="Verdana"/>
          <w:sz w:val="20"/>
        </w:rPr>
        <w:softHyphen/>
        <w:t>gresive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innbefatter diffuse blandede og </w:t>
      </w:r>
      <w:proofErr w:type="spellStart"/>
      <w:r w:rsidRPr="002646AD">
        <w:rPr>
          <w:rFonts w:ascii="Verdana" w:hAnsi="Verdana"/>
          <w:sz w:val="20"/>
        </w:rPr>
        <w:t>storcelle</w:t>
      </w:r>
      <w:r w:rsidRPr="002646AD">
        <w:rPr>
          <w:rFonts w:ascii="Verdana" w:hAnsi="Verdana"/>
          <w:sz w:val="20"/>
        </w:rPr>
        <w:softHyphen/>
        <w:t>lymfomer</w:t>
      </w:r>
      <w:proofErr w:type="spellEnd"/>
      <w:r w:rsidRPr="002646AD">
        <w:rPr>
          <w:rFonts w:ascii="Verdana" w:hAnsi="Verdana"/>
          <w:sz w:val="20"/>
        </w:rPr>
        <w:t xml:space="preserve">, Burkitts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/diffus ikke-spaltet </w:t>
      </w:r>
      <w:proofErr w:type="spellStart"/>
      <w:r w:rsidRPr="002646AD">
        <w:rPr>
          <w:rFonts w:ascii="Verdana" w:hAnsi="Verdana"/>
          <w:sz w:val="20"/>
        </w:rPr>
        <w:t>småcellelym</w:t>
      </w:r>
      <w:r w:rsidRPr="002646AD">
        <w:rPr>
          <w:rFonts w:ascii="Verdana" w:hAnsi="Verdana"/>
          <w:sz w:val="20"/>
        </w:rPr>
        <w:softHyphen/>
        <w:t>fom</w:t>
      </w:r>
      <w:proofErr w:type="spellEnd"/>
      <w:r w:rsidRPr="002646AD">
        <w:rPr>
          <w:rFonts w:ascii="Verdana" w:hAnsi="Verdana"/>
          <w:sz w:val="20"/>
        </w:rPr>
        <w:t xml:space="preserve">, </w:t>
      </w:r>
      <w:proofErr w:type="spellStart"/>
      <w:r w:rsidRPr="002646AD">
        <w:rPr>
          <w:rFonts w:ascii="Verdana" w:hAnsi="Verdana"/>
          <w:sz w:val="20"/>
        </w:rPr>
        <w:t>Lymfoblastisk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, </w:t>
      </w:r>
      <w:proofErr w:type="spellStart"/>
      <w:r w:rsidRPr="002646AD">
        <w:rPr>
          <w:rFonts w:ascii="Verdana" w:hAnsi="Verdana"/>
          <w:sz w:val="20"/>
        </w:rPr>
        <w:t>Kappecellelymfom</w:t>
      </w:r>
      <w:proofErr w:type="spellEnd"/>
      <w:r w:rsidRPr="002646AD">
        <w:rPr>
          <w:rFonts w:ascii="Verdana" w:hAnsi="Verdana"/>
          <w:sz w:val="20"/>
        </w:rPr>
        <w:t xml:space="preserve"> og AIDS-rela</w:t>
      </w:r>
      <w:r w:rsidRPr="002646AD">
        <w:rPr>
          <w:rFonts w:ascii="Verdana" w:hAnsi="Verdana"/>
          <w:sz w:val="20"/>
        </w:rPr>
        <w:softHyphen/>
        <w:t xml:space="preserve">tert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.  Disse 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kan også trekke fordeler fra kombinerte terapeutiske regimer. </w:t>
      </w:r>
    </w:p>
    <w:p w:rsidR="00893FE2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Non-</w:t>
      </w:r>
      <w:proofErr w:type="spellStart"/>
      <w:r w:rsidRPr="002646AD">
        <w:rPr>
          <w:rFonts w:ascii="Verdana" w:hAnsi="Verdana"/>
          <w:sz w:val="20"/>
        </w:rPr>
        <w:t>Hodgkins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har også blitt klassifisert på basis av "grad" basert på andre sykdomskarakteristika innbefattende lav-grad, mellomliggende grad og høy-</w:t>
      </w:r>
      <w:proofErr w:type="spellStart"/>
      <w:r w:rsidRPr="002646AD">
        <w:rPr>
          <w:rFonts w:ascii="Verdana" w:hAnsi="Verdana"/>
          <w:sz w:val="20"/>
        </w:rPr>
        <w:t>gradslymfomer</w:t>
      </w:r>
      <w:proofErr w:type="spellEnd"/>
      <w:r w:rsidRPr="002646AD">
        <w:rPr>
          <w:rFonts w:ascii="Verdana" w:hAnsi="Verdana"/>
          <w:sz w:val="20"/>
        </w:rPr>
        <w:t>.  Lav-</w:t>
      </w:r>
      <w:proofErr w:type="spellStart"/>
      <w:r w:rsidRPr="002646AD">
        <w:rPr>
          <w:rFonts w:ascii="Verdana" w:hAnsi="Verdana"/>
          <w:sz w:val="20"/>
        </w:rPr>
        <w:t>gradslymfom</w:t>
      </w:r>
      <w:proofErr w:type="spellEnd"/>
      <w:r w:rsidRPr="002646AD">
        <w:rPr>
          <w:rFonts w:ascii="Verdana" w:hAnsi="Verdana"/>
          <w:sz w:val="20"/>
        </w:rPr>
        <w:t xml:space="preserve"> presenterer seg vanligvis som en </w:t>
      </w:r>
      <w:proofErr w:type="spellStart"/>
      <w:r w:rsidRPr="002646AD">
        <w:rPr>
          <w:rFonts w:ascii="Verdana" w:hAnsi="Verdana"/>
          <w:sz w:val="20"/>
        </w:rPr>
        <w:t>nodal</w:t>
      </w:r>
      <w:proofErr w:type="spellEnd"/>
      <w:r w:rsidRPr="002646AD">
        <w:rPr>
          <w:rFonts w:ascii="Verdana" w:hAnsi="Verdana"/>
          <w:sz w:val="20"/>
        </w:rPr>
        <w:t xml:space="preserve"> sykdom og er ofte indolent eller saktevoksende.  Mellomliggende- og høygradssykdom presenterer seg vanligvis som en mer </w:t>
      </w:r>
      <w:proofErr w:type="spellStart"/>
      <w:r w:rsidRPr="002646AD">
        <w:rPr>
          <w:rFonts w:ascii="Verdana" w:hAnsi="Verdana"/>
          <w:sz w:val="20"/>
        </w:rPr>
        <w:t>ag</w:t>
      </w:r>
      <w:r w:rsidRPr="002646AD">
        <w:rPr>
          <w:rFonts w:ascii="Verdana" w:hAnsi="Verdana"/>
          <w:sz w:val="20"/>
        </w:rPr>
        <w:softHyphen/>
        <w:t>gresiv</w:t>
      </w:r>
      <w:proofErr w:type="spellEnd"/>
      <w:r w:rsidRPr="002646AD">
        <w:rPr>
          <w:rFonts w:ascii="Verdana" w:hAnsi="Verdana"/>
          <w:sz w:val="20"/>
        </w:rPr>
        <w:t xml:space="preserve"> sykdom med store </w:t>
      </w:r>
      <w:proofErr w:type="spellStart"/>
      <w:r w:rsidRPr="002646AD">
        <w:rPr>
          <w:rFonts w:ascii="Verdana" w:hAnsi="Verdana"/>
          <w:sz w:val="20"/>
        </w:rPr>
        <w:t>ekstranodale</w:t>
      </w:r>
      <w:proofErr w:type="spellEnd"/>
      <w:r w:rsidRPr="002646AD">
        <w:rPr>
          <w:rFonts w:ascii="Verdana" w:hAnsi="Verdana"/>
          <w:sz w:val="20"/>
        </w:rPr>
        <w:t xml:space="preserve"> klumpete svulster.  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Ann Arbor klassifiseringssystemet blir også vanlig brukt for pasienter med NHL.  I dette system kan stadier I,II, III og IV av voksen NHL bli klassifisert i A og B katego</w:t>
      </w:r>
      <w:r w:rsidRPr="002646AD">
        <w:rPr>
          <w:rFonts w:ascii="Verdana" w:hAnsi="Verdana"/>
          <w:sz w:val="20"/>
        </w:rPr>
        <w:softHyphen/>
        <w:t>rier avhengig av hvorvidt pasienten har veldefinerte gene</w:t>
      </w:r>
      <w:r w:rsidRPr="002646AD">
        <w:rPr>
          <w:rFonts w:ascii="Verdana" w:hAnsi="Verdana"/>
          <w:sz w:val="20"/>
        </w:rPr>
        <w:softHyphen/>
        <w:t xml:space="preserve">relle symptomer (B) eller ikke (A).  B-betegnelsen blir gitt til pasienter med de følgende symptomer: uforklart tap av mer enn </w:t>
      </w:r>
      <w:proofErr w:type="gramStart"/>
      <w:r w:rsidRPr="002646AD">
        <w:rPr>
          <w:rFonts w:ascii="Verdana" w:hAnsi="Verdana"/>
          <w:sz w:val="20"/>
        </w:rPr>
        <w:t>10%</w:t>
      </w:r>
      <w:proofErr w:type="gramEnd"/>
      <w:r w:rsidRPr="002646AD">
        <w:rPr>
          <w:rFonts w:ascii="Verdana" w:hAnsi="Verdana"/>
          <w:sz w:val="20"/>
        </w:rPr>
        <w:t xml:space="preserve"> kroppsvekt i de første 6 måneder før diag</w:t>
      </w:r>
      <w:r w:rsidRPr="002646AD">
        <w:rPr>
          <w:rFonts w:ascii="Verdana" w:hAnsi="Verdana"/>
          <w:sz w:val="20"/>
        </w:rPr>
        <w:softHyphen/>
        <w:t>nose, uforklart feber med temperaturer over 38</w:t>
      </w:r>
      <w:r w:rsidRPr="002646AD">
        <w:rPr>
          <w:rFonts w:ascii="Verdana" w:hAnsi="Verdana"/>
          <w:sz w:val="20"/>
        </w:rPr>
        <w:sym w:font="Symbol" w:char="F0B0"/>
      </w:r>
      <w:r w:rsidRPr="002646AD">
        <w:rPr>
          <w:rFonts w:ascii="Verdana" w:hAnsi="Verdana"/>
          <w:sz w:val="20"/>
        </w:rPr>
        <w:t>C og fuk</w:t>
      </w:r>
      <w:r w:rsidRPr="002646AD">
        <w:rPr>
          <w:rFonts w:ascii="Verdana" w:hAnsi="Verdana"/>
          <w:sz w:val="20"/>
        </w:rPr>
        <w:softHyphen/>
        <w:t xml:space="preserve">tende nattlig svette.  Til tider blir spesialiserte </w:t>
      </w:r>
      <w:proofErr w:type="spellStart"/>
      <w:r w:rsidRPr="002646AD">
        <w:rPr>
          <w:rFonts w:ascii="Verdana" w:hAnsi="Verdana"/>
          <w:sz w:val="20"/>
        </w:rPr>
        <w:t>trinn</w:t>
      </w:r>
      <w:r w:rsidRPr="002646AD">
        <w:rPr>
          <w:rFonts w:ascii="Verdana" w:hAnsi="Verdana"/>
          <w:sz w:val="20"/>
        </w:rPr>
        <w:softHyphen/>
        <w:t>systemer</w:t>
      </w:r>
      <w:proofErr w:type="spellEnd"/>
      <w:r w:rsidRPr="002646AD">
        <w:rPr>
          <w:rFonts w:ascii="Verdana" w:hAnsi="Verdana"/>
          <w:sz w:val="20"/>
        </w:rPr>
        <w:t xml:space="preserve"> brukt:</w:t>
      </w:r>
      <w:r w:rsidRPr="002646AD">
        <w:rPr>
          <w:rFonts w:ascii="Verdana" w:hAnsi="Verdana"/>
          <w:sz w:val="20"/>
        </w:rPr>
        <w:br/>
        <w:t xml:space="preserve">Trinn I </w:t>
      </w:r>
      <w:proofErr w:type="gramStart"/>
      <w:r w:rsidRPr="002646AD">
        <w:rPr>
          <w:rFonts w:ascii="Verdana" w:hAnsi="Verdana"/>
          <w:sz w:val="20"/>
        </w:rPr>
        <w:t>-   involvering</w:t>
      </w:r>
      <w:proofErr w:type="gramEnd"/>
      <w:r w:rsidRPr="002646AD">
        <w:rPr>
          <w:rFonts w:ascii="Verdana" w:hAnsi="Verdana"/>
          <w:sz w:val="20"/>
        </w:rPr>
        <w:t xml:space="preserve"> av et enkelt lymfeknuteområde eller lokalisert involvering av et enkelt ekstra lymfatisk organ eller område.</w:t>
      </w:r>
      <w:r w:rsidRPr="002646AD">
        <w:rPr>
          <w:rFonts w:ascii="Verdana" w:hAnsi="Verdana"/>
          <w:sz w:val="20"/>
        </w:rPr>
        <w:br/>
        <w:t xml:space="preserve">Trinn II </w:t>
      </w:r>
      <w:proofErr w:type="gramStart"/>
      <w:r w:rsidRPr="002646AD">
        <w:rPr>
          <w:rFonts w:ascii="Verdana" w:hAnsi="Verdana"/>
          <w:sz w:val="20"/>
        </w:rPr>
        <w:t>-  involvering</w:t>
      </w:r>
      <w:proofErr w:type="gramEnd"/>
      <w:r w:rsidRPr="002646AD">
        <w:rPr>
          <w:rFonts w:ascii="Verdana" w:hAnsi="Verdana"/>
          <w:sz w:val="20"/>
        </w:rPr>
        <w:t xml:space="preserve"> av to eller flere lymfeknuteområder på samme side av mellomgulvet eller lokalisert involvering av et enkelt assosiert ekstra lymfatisk organ eller område og dets regionale lymfeknuter med eller uten andre </w:t>
      </w:r>
      <w:proofErr w:type="spellStart"/>
      <w:r w:rsidRPr="002646AD">
        <w:rPr>
          <w:rFonts w:ascii="Verdana" w:hAnsi="Verdana"/>
          <w:sz w:val="20"/>
        </w:rPr>
        <w:t>lymfe</w:t>
      </w:r>
      <w:r w:rsidRPr="002646AD">
        <w:rPr>
          <w:rFonts w:ascii="Verdana" w:hAnsi="Verdana"/>
          <w:sz w:val="20"/>
        </w:rPr>
        <w:softHyphen/>
      </w:r>
      <w:r w:rsidRPr="002646AD">
        <w:rPr>
          <w:rFonts w:ascii="Verdana" w:hAnsi="Verdana"/>
          <w:sz w:val="20"/>
        </w:rPr>
        <w:lastRenderedPageBreak/>
        <w:t>knuteområder</w:t>
      </w:r>
      <w:proofErr w:type="spellEnd"/>
      <w:r w:rsidRPr="002646AD">
        <w:rPr>
          <w:rFonts w:ascii="Verdana" w:hAnsi="Verdana"/>
          <w:sz w:val="20"/>
        </w:rPr>
        <w:t xml:space="preserve"> på samme side av mellomgulvet.</w:t>
      </w:r>
      <w:r w:rsidRPr="002646AD">
        <w:rPr>
          <w:rFonts w:ascii="Verdana" w:hAnsi="Verdana"/>
          <w:sz w:val="20"/>
        </w:rPr>
        <w:br/>
        <w:t>Trinn III - involvering av lymfeknuteområder på begge sider av mellomgulvet, eventuelt medfølgende lokalisert involve</w:t>
      </w:r>
      <w:r w:rsidRPr="002646AD">
        <w:rPr>
          <w:rFonts w:ascii="Verdana" w:hAnsi="Verdana"/>
          <w:sz w:val="20"/>
        </w:rPr>
        <w:softHyphen/>
        <w:t>ring av et ekstra lymfatisk organ eller område, involvering av milten, eller begge deler.</w:t>
      </w:r>
      <w:r w:rsidRPr="002646AD">
        <w:rPr>
          <w:rFonts w:ascii="Verdana" w:hAnsi="Verdana"/>
          <w:sz w:val="20"/>
        </w:rPr>
        <w:br/>
        <w:t xml:space="preserve">Trinn IV </w:t>
      </w:r>
      <w:proofErr w:type="gramStart"/>
      <w:r w:rsidRPr="002646AD">
        <w:rPr>
          <w:rFonts w:ascii="Verdana" w:hAnsi="Verdana"/>
          <w:sz w:val="20"/>
        </w:rPr>
        <w:t xml:space="preserve">-  </w:t>
      </w:r>
      <w:proofErr w:type="spellStart"/>
      <w:r w:rsidRPr="002646AD">
        <w:rPr>
          <w:rFonts w:ascii="Verdana" w:hAnsi="Verdana"/>
          <w:sz w:val="20"/>
        </w:rPr>
        <w:t>disseminert</w:t>
      </w:r>
      <w:proofErr w:type="spellEnd"/>
      <w:proofErr w:type="gramEnd"/>
      <w:r w:rsidRPr="002646AD">
        <w:rPr>
          <w:rFonts w:ascii="Verdana" w:hAnsi="Verdana"/>
          <w:sz w:val="20"/>
        </w:rPr>
        <w:t xml:space="preserve"> (</w:t>
      </w:r>
      <w:proofErr w:type="spellStart"/>
      <w:r w:rsidRPr="002646AD">
        <w:rPr>
          <w:rFonts w:ascii="Verdana" w:hAnsi="Verdana"/>
          <w:sz w:val="20"/>
        </w:rPr>
        <w:t>multifokal</w:t>
      </w:r>
      <w:proofErr w:type="spellEnd"/>
      <w:r w:rsidRPr="002646AD">
        <w:rPr>
          <w:rFonts w:ascii="Verdana" w:hAnsi="Verdana"/>
          <w:sz w:val="20"/>
        </w:rPr>
        <w:t>) involvering av ett el</w:t>
      </w:r>
      <w:r w:rsidRPr="002646AD">
        <w:rPr>
          <w:rFonts w:ascii="Verdana" w:hAnsi="Verdana"/>
          <w:sz w:val="20"/>
        </w:rPr>
        <w:softHyphen/>
        <w:t>ler flere ekstra lymfatiske områder med eller uten asso</w:t>
      </w:r>
      <w:r w:rsidRPr="002646AD">
        <w:rPr>
          <w:rFonts w:ascii="Verdana" w:hAnsi="Verdana"/>
          <w:sz w:val="20"/>
        </w:rPr>
        <w:softHyphen/>
        <w:t xml:space="preserve">siert lymfeknuteinvolvering eller isolert ekstra </w:t>
      </w:r>
      <w:proofErr w:type="spellStart"/>
      <w:r w:rsidRPr="002646AD">
        <w:rPr>
          <w:rFonts w:ascii="Verdana" w:hAnsi="Verdana"/>
          <w:sz w:val="20"/>
        </w:rPr>
        <w:t>lymfoma</w:t>
      </w:r>
      <w:r w:rsidRPr="002646AD">
        <w:rPr>
          <w:rFonts w:ascii="Verdana" w:hAnsi="Verdana"/>
          <w:sz w:val="20"/>
        </w:rPr>
        <w:softHyphen/>
        <w:t>tisk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orga</w:t>
      </w:r>
      <w:r w:rsidRPr="002646AD">
        <w:rPr>
          <w:rFonts w:ascii="Verdana" w:hAnsi="Verdana"/>
          <w:sz w:val="20"/>
        </w:rPr>
        <w:softHyphen/>
        <w:t>ninvolvering</w:t>
      </w:r>
      <w:proofErr w:type="spellEnd"/>
      <w:r w:rsidRPr="002646AD">
        <w:rPr>
          <w:rFonts w:ascii="Verdana" w:hAnsi="Verdana"/>
          <w:sz w:val="20"/>
        </w:rPr>
        <w:t xml:space="preserve"> med fjerntliggende (ikke-regional) </w:t>
      </w:r>
      <w:proofErr w:type="spellStart"/>
      <w:r w:rsidRPr="002646AD">
        <w:rPr>
          <w:rFonts w:ascii="Verdana" w:hAnsi="Verdana"/>
          <w:sz w:val="20"/>
        </w:rPr>
        <w:t>nodal</w:t>
      </w:r>
      <w:proofErr w:type="spellEnd"/>
      <w:r w:rsidRPr="002646AD">
        <w:rPr>
          <w:rFonts w:ascii="Verdana" w:hAnsi="Verdana"/>
          <w:sz w:val="20"/>
        </w:rPr>
        <w:t xml:space="preserve"> in</w:t>
      </w:r>
      <w:r w:rsidRPr="002646AD">
        <w:rPr>
          <w:rFonts w:ascii="Verdana" w:hAnsi="Verdana"/>
          <w:sz w:val="20"/>
        </w:rPr>
        <w:softHyphen/>
        <w:t xml:space="preserve">volvering.  </w:t>
      </w:r>
      <w:r w:rsidRPr="002646AD">
        <w:rPr>
          <w:rFonts w:ascii="Verdana" w:hAnsi="Verdana"/>
          <w:sz w:val="20"/>
          <w:lang w:val="en-US"/>
        </w:rPr>
        <w:t xml:space="preserve">For </w:t>
      </w:r>
      <w:proofErr w:type="spellStart"/>
      <w:r w:rsidRPr="002646AD">
        <w:rPr>
          <w:rFonts w:ascii="Verdana" w:hAnsi="Verdana"/>
          <w:sz w:val="20"/>
          <w:lang w:val="en-US"/>
        </w:rPr>
        <w:t>ytterligere</w:t>
      </w:r>
      <w:proofErr w:type="spellEnd"/>
      <w:r w:rsidRPr="002646AD">
        <w:rPr>
          <w:rFonts w:ascii="Verdana" w:hAnsi="Verdana"/>
          <w:sz w:val="20"/>
          <w:lang w:val="en-US"/>
        </w:rPr>
        <w:t xml:space="preserve"> </w:t>
      </w:r>
      <w:proofErr w:type="spellStart"/>
      <w:r w:rsidRPr="002646AD">
        <w:rPr>
          <w:rFonts w:ascii="Verdana" w:hAnsi="Verdana"/>
          <w:sz w:val="20"/>
          <w:lang w:val="en-US"/>
        </w:rPr>
        <w:t>detaljer</w:t>
      </w:r>
      <w:proofErr w:type="spellEnd"/>
      <w:r w:rsidRPr="002646AD">
        <w:rPr>
          <w:rFonts w:ascii="Verdana" w:hAnsi="Verdana"/>
          <w:sz w:val="20"/>
          <w:lang w:val="en-US"/>
        </w:rPr>
        <w:t>, se The International Non-Hodgkin's Lymphoma Prognostic Factors Project: A pre</w:t>
      </w:r>
      <w:r w:rsidRPr="002646AD">
        <w:rPr>
          <w:rFonts w:ascii="Verdana" w:hAnsi="Verdana"/>
          <w:sz w:val="20"/>
          <w:lang w:val="en-US"/>
        </w:rPr>
        <w:softHyphen/>
        <w:t>dictive model for aggressive non-</w:t>
      </w:r>
      <w:proofErr w:type="spellStart"/>
      <w:r w:rsidRPr="002646AD">
        <w:rPr>
          <w:rFonts w:ascii="Verdana" w:hAnsi="Verdana"/>
          <w:sz w:val="20"/>
          <w:lang w:val="en-US"/>
        </w:rPr>
        <w:t>Hodgkins</w:t>
      </w:r>
      <w:proofErr w:type="spellEnd"/>
      <w:r w:rsidRPr="002646AD">
        <w:rPr>
          <w:rFonts w:ascii="Verdana" w:hAnsi="Verdana"/>
          <w:sz w:val="20"/>
          <w:lang w:val="en-US"/>
        </w:rPr>
        <w:t xml:space="preserve"> lymphoma. </w:t>
      </w:r>
      <w:r w:rsidRPr="002646AD">
        <w:rPr>
          <w:rFonts w:ascii="Verdana" w:hAnsi="Verdana"/>
          <w:i/>
          <w:sz w:val="20"/>
        </w:rPr>
        <w:t xml:space="preserve">New England </w:t>
      </w:r>
      <w:proofErr w:type="spellStart"/>
      <w:r w:rsidRPr="002646AD">
        <w:rPr>
          <w:rFonts w:ascii="Verdana" w:hAnsi="Verdana"/>
          <w:i/>
          <w:sz w:val="20"/>
        </w:rPr>
        <w:t>J</w:t>
      </w:r>
      <w:proofErr w:type="gramStart"/>
      <w:r w:rsidRPr="002646AD">
        <w:rPr>
          <w:rFonts w:ascii="Verdana" w:hAnsi="Verdana"/>
          <w:i/>
          <w:sz w:val="20"/>
        </w:rPr>
        <w:t>.Med</w:t>
      </w:r>
      <w:proofErr w:type="spellEnd"/>
      <w:proofErr w:type="gramEnd"/>
      <w:r w:rsidRPr="002646AD">
        <w:rPr>
          <w:rFonts w:ascii="Verdana" w:hAnsi="Verdana"/>
          <w:i/>
          <w:sz w:val="20"/>
        </w:rPr>
        <w:t xml:space="preserve">. </w:t>
      </w:r>
      <w:r w:rsidRPr="002646AD">
        <w:rPr>
          <w:rFonts w:ascii="Verdana" w:hAnsi="Verdana"/>
          <w:sz w:val="20"/>
        </w:rPr>
        <w:t>329(14):987-994(1993).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Foretrukne antistoff, doseringsregimer og spesielle kombi</w:t>
      </w:r>
      <w:r w:rsidRPr="002646AD">
        <w:rPr>
          <w:rFonts w:ascii="Verdana" w:hAnsi="Verdana"/>
          <w:sz w:val="20"/>
        </w:rPr>
        <w:softHyphen/>
        <w:t xml:space="preserve">nasjoner av behandling vil nå bli illustrert ut fra </w:t>
      </w:r>
      <w:proofErr w:type="gramStart"/>
      <w:r w:rsidRPr="002646AD">
        <w:rPr>
          <w:rFonts w:ascii="Verdana" w:hAnsi="Verdana"/>
          <w:sz w:val="20"/>
        </w:rPr>
        <w:t>de</w:t>
      </w:r>
      <w:proofErr w:type="gramEnd"/>
      <w:r w:rsidRPr="002646AD">
        <w:rPr>
          <w:rFonts w:ascii="Verdana" w:hAnsi="Verdana"/>
          <w:sz w:val="20"/>
        </w:rPr>
        <w:t xml:space="preserve"> føl</w:t>
      </w:r>
      <w:r w:rsidRPr="002646AD">
        <w:rPr>
          <w:rFonts w:ascii="Verdana" w:hAnsi="Verdana"/>
          <w:sz w:val="20"/>
        </w:rPr>
        <w:softHyphen/>
        <w:t xml:space="preserve">gende </w:t>
      </w:r>
      <w:proofErr w:type="spellStart"/>
      <w:proofErr w:type="gramStart"/>
      <w:r w:rsidRPr="002646AD">
        <w:rPr>
          <w:rFonts w:ascii="Verdana" w:hAnsi="Verdana"/>
          <w:sz w:val="20"/>
        </w:rPr>
        <w:t>eksempelvise</w:t>
      </w:r>
      <w:proofErr w:type="spellEnd"/>
      <w:proofErr w:type="gramEnd"/>
      <w:r w:rsidRPr="002646AD">
        <w:rPr>
          <w:rFonts w:ascii="Verdana" w:hAnsi="Verdana"/>
          <w:sz w:val="20"/>
        </w:rPr>
        <w:t xml:space="preserve"> data.</w:t>
      </w:r>
    </w:p>
    <w:p w:rsidR="001003C4" w:rsidRPr="002646AD" w:rsidRDefault="001003C4">
      <w:pPr>
        <w:pStyle w:val="Overskrift1"/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og Y2B8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Non-</w:t>
      </w:r>
      <w:proofErr w:type="spellStart"/>
      <w:r w:rsidRPr="002646AD">
        <w:rPr>
          <w:rFonts w:ascii="Verdana" w:hAnsi="Verdana"/>
          <w:sz w:val="20"/>
        </w:rPr>
        <w:t>Hodgkin's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(NHL) påvirker omtrent 250.000 perso</w:t>
      </w:r>
      <w:r w:rsidRPr="002646AD">
        <w:rPr>
          <w:rFonts w:ascii="Verdana" w:hAnsi="Verdana"/>
          <w:sz w:val="20"/>
        </w:rPr>
        <w:softHyphen/>
        <w:t xml:space="preserve">ner i de forente stater.  Hoveddelen av pasientene med NHL blir ikke helbredet med kjemoterapi, radioterapi eller høy-dosebehandling med </w:t>
      </w:r>
      <w:proofErr w:type="spellStart"/>
      <w:r w:rsidRPr="002646AD">
        <w:rPr>
          <w:rFonts w:ascii="Verdana" w:hAnsi="Verdana"/>
          <w:sz w:val="20"/>
        </w:rPr>
        <w:t>autolog</w:t>
      </w:r>
      <w:proofErr w:type="spellEnd"/>
      <w:r w:rsidRPr="002646AD">
        <w:rPr>
          <w:rFonts w:ascii="Verdana" w:hAnsi="Verdana"/>
          <w:sz w:val="20"/>
        </w:rPr>
        <w:t xml:space="preserve"> benmarg (ABMT) eller perifer blodstamcelle (PBSC)-støtte.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Omtrent </w:t>
      </w:r>
      <w:proofErr w:type="gramStart"/>
      <w:r w:rsidRPr="002646AD">
        <w:rPr>
          <w:rFonts w:ascii="Verdana" w:hAnsi="Verdana"/>
          <w:sz w:val="20"/>
        </w:rPr>
        <w:t>80%</w:t>
      </w:r>
      <w:proofErr w:type="gramEnd"/>
      <w:r w:rsidRPr="002646AD">
        <w:rPr>
          <w:rFonts w:ascii="Verdana" w:hAnsi="Verdana"/>
          <w:sz w:val="20"/>
        </w:rPr>
        <w:t xml:space="preserve"> av Non-</w:t>
      </w:r>
      <w:proofErr w:type="spellStart"/>
      <w:r w:rsidRPr="002646AD">
        <w:rPr>
          <w:rFonts w:ascii="Verdana" w:hAnsi="Verdana"/>
          <w:sz w:val="20"/>
        </w:rPr>
        <w:t>Hodgkins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er B-celle-sykdommer og &gt;95% av disse uttrykker anti-CD20-antigenet på </w:t>
      </w:r>
      <w:proofErr w:type="spellStart"/>
      <w:r w:rsidRPr="002646AD">
        <w:rPr>
          <w:rFonts w:ascii="Verdana" w:hAnsi="Verdana"/>
          <w:sz w:val="20"/>
        </w:rPr>
        <w:t>celle</w:t>
      </w:r>
      <w:r w:rsidRPr="002646AD">
        <w:rPr>
          <w:rFonts w:ascii="Verdana" w:hAnsi="Verdana"/>
          <w:sz w:val="20"/>
        </w:rPr>
        <w:softHyphen/>
        <w:t>overflaten</w:t>
      </w:r>
      <w:proofErr w:type="spellEnd"/>
      <w:r w:rsidRPr="002646AD">
        <w:rPr>
          <w:rFonts w:ascii="Verdana" w:hAnsi="Verdana"/>
          <w:sz w:val="20"/>
        </w:rPr>
        <w:t xml:space="preserve">.  Dette antigen er et attraktivt mål for </w:t>
      </w:r>
      <w:proofErr w:type="spellStart"/>
      <w:r w:rsidRPr="002646AD">
        <w:rPr>
          <w:rFonts w:ascii="Verdana" w:hAnsi="Verdana"/>
          <w:sz w:val="20"/>
        </w:rPr>
        <w:t>immuno</w:t>
      </w:r>
      <w:r w:rsidRPr="002646AD">
        <w:rPr>
          <w:rFonts w:ascii="Verdana" w:hAnsi="Verdana"/>
          <w:sz w:val="20"/>
        </w:rPr>
        <w:softHyphen/>
        <w:t>terapi</w:t>
      </w:r>
      <w:proofErr w:type="spellEnd"/>
      <w:r w:rsidRPr="002646AD">
        <w:rPr>
          <w:rFonts w:ascii="Verdana" w:hAnsi="Verdana"/>
          <w:sz w:val="20"/>
        </w:rPr>
        <w:t xml:space="preserve"> fordi det blir funnet utelukkende på B-celler og ikke på </w:t>
      </w:r>
      <w:proofErr w:type="spellStart"/>
      <w:r w:rsidRPr="002646AD">
        <w:rPr>
          <w:rFonts w:ascii="Verdana" w:hAnsi="Verdana"/>
          <w:sz w:val="20"/>
        </w:rPr>
        <w:t>hematopoietiske</w:t>
      </w:r>
      <w:proofErr w:type="spellEnd"/>
      <w:r w:rsidRPr="002646AD">
        <w:rPr>
          <w:rFonts w:ascii="Verdana" w:hAnsi="Verdana"/>
          <w:sz w:val="20"/>
        </w:rPr>
        <w:t xml:space="preserve"> stamceller, pro-B-celler, normale plasmaceller eller annet normalt vev.  Det avstøtes ikke fra celleoverflaten og modulerer ikke ved antistoffbinding (1).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er ett av en ny generasjon monoklonale anti</w:t>
      </w:r>
      <w:r w:rsidRPr="002646AD">
        <w:rPr>
          <w:rFonts w:ascii="Verdana" w:hAnsi="Verdana"/>
          <w:sz w:val="20"/>
        </w:rPr>
        <w:softHyphen/>
        <w:t xml:space="preserve">stoff utviklet for å overvinne begrensninger påtruffet med </w:t>
      </w:r>
      <w:proofErr w:type="spellStart"/>
      <w:r w:rsidRPr="002646AD">
        <w:rPr>
          <w:rFonts w:ascii="Verdana" w:hAnsi="Verdana"/>
          <w:sz w:val="20"/>
        </w:rPr>
        <w:t>murin</w:t>
      </w:r>
      <w:proofErr w:type="spellEnd"/>
      <w:r w:rsidRPr="002646AD">
        <w:rPr>
          <w:rFonts w:ascii="Verdana" w:hAnsi="Verdana"/>
          <w:sz w:val="20"/>
        </w:rPr>
        <w:t xml:space="preserve"> antistoff innbefattende kort halveringstid, begrenset egenskap til å stimulere humane effektorfunksjoner og </w:t>
      </w:r>
      <w:proofErr w:type="spellStart"/>
      <w:r w:rsidRPr="002646AD">
        <w:rPr>
          <w:rFonts w:ascii="Verdana" w:hAnsi="Verdana"/>
          <w:sz w:val="20"/>
        </w:rPr>
        <w:t>immunogenisitet</w:t>
      </w:r>
      <w:proofErr w:type="spellEnd"/>
      <w:r w:rsidRPr="002646AD">
        <w:rPr>
          <w:rFonts w:ascii="Verdana" w:hAnsi="Verdana"/>
          <w:sz w:val="20"/>
        </w:rPr>
        <w:t xml:space="preserve"> (2,3).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er et genetisk manipulert monoklonalt antistoff med </w:t>
      </w:r>
      <w:proofErr w:type="spellStart"/>
      <w:r w:rsidRPr="002646AD">
        <w:rPr>
          <w:rFonts w:ascii="Verdana" w:hAnsi="Verdana"/>
          <w:sz w:val="20"/>
        </w:rPr>
        <w:t>murine</w:t>
      </w:r>
      <w:proofErr w:type="spellEnd"/>
      <w:r w:rsidRPr="002646AD">
        <w:rPr>
          <w:rFonts w:ascii="Verdana" w:hAnsi="Verdana"/>
          <w:sz w:val="20"/>
        </w:rPr>
        <w:t xml:space="preserve"> lette- og tungkjedete variable områder og humane gamma I tung-kjede og kappa lett-kjede konstante områder.  Det </w:t>
      </w:r>
      <w:proofErr w:type="spellStart"/>
      <w:r w:rsidRPr="002646AD">
        <w:rPr>
          <w:rFonts w:ascii="Verdana" w:hAnsi="Verdana"/>
          <w:sz w:val="20"/>
        </w:rPr>
        <w:t>kimeriske</w:t>
      </w:r>
      <w:proofErr w:type="spellEnd"/>
      <w:r w:rsidRPr="002646AD">
        <w:rPr>
          <w:rFonts w:ascii="Verdana" w:hAnsi="Verdana"/>
          <w:sz w:val="20"/>
        </w:rPr>
        <w:t xml:space="preserve"> antistoff består av 2 tunge kjeder på 451 aminosyrer og 2 lette kjeder på 213 aminosyrer og har en omtrentlig molekylvekt på 145 </w:t>
      </w:r>
      <w:proofErr w:type="spellStart"/>
      <w:r w:rsidRPr="002646AD">
        <w:rPr>
          <w:rFonts w:ascii="Verdana" w:hAnsi="Verdana"/>
          <w:sz w:val="20"/>
        </w:rPr>
        <w:t>kD</w:t>
      </w:r>
      <w:proofErr w:type="spellEnd"/>
      <w:r w:rsidRPr="002646AD">
        <w:rPr>
          <w:rFonts w:ascii="Verdana" w:hAnsi="Verdana"/>
          <w:sz w:val="20"/>
        </w:rPr>
        <w:t xml:space="preserve">. 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er mer ef</w:t>
      </w:r>
      <w:r w:rsidRPr="002646AD">
        <w:rPr>
          <w:rFonts w:ascii="Verdana" w:hAnsi="Verdana"/>
          <w:sz w:val="20"/>
        </w:rPr>
        <w:softHyphen/>
        <w:t xml:space="preserve">fektiv enn dets </w:t>
      </w:r>
      <w:proofErr w:type="spellStart"/>
      <w:r w:rsidRPr="002646AD">
        <w:rPr>
          <w:rFonts w:ascii="Verdana" w:hAnsi="Verdana"/>
          <w:sz w:val="20"/>
        </w:rPr>
        <w:t>murine</w:t>
      </w:r>
      <w:proofErr w:type="spellEnd"/>
      <w:r w:rsidRPr="002646AD">
        <w:rPr>
          <w:rFonts w:ascii="Verdana" w:hAnsi="Verdana"/>
          <w:sz w:val="20"/>
        </w:rPr>
        <w:t xml:space="preserve"> opphav i å fiksere </w:t>
      </w:r>
      <w:r w:rsidRPr="002646AD">
        <w:rPr>
          <w:rFonts w:ascii="Verdana" w:hAnsi="Verdana"/>
          <w:sz w:val="20"/>
        </w:rPr>
        <w:lastRenderedPageBreak/>
        <w:t>komplement og fremme ADCC, og det fremmer CDC ved nærvær av humant kom</w:t>
      </w:r>
      <w:r w:rsidRPr="002646AD">
        <w:rPr>
          <w:rFonts w:ascii="Verdana" w:hAnsi="Verdana"/>
          <w:sz w:val="20"/>
        </w:rPr>
        <w:softHyphen/>
        <w:t>plement (4).  Antistoffet inhiberer cellevekst i B-celle</w:t>
      </w:r>
      <w:r w:rsidRPr="002646AD">
        <w:rPr>
          <w:rFonts w:ascii="Verdana" w:hAnsi="Verdana"/>
          <w:sz w:val="20"/>
        </w:rPr>
        <w:softHyphen/>
        <w:t xml:space="preserve">linjene FL-18, Ramos og </w:t>
      </w:r>
      <w:proofErr w:type="spellStart"/>
      <w:r w:rsidRPr="002646AD">
        <w:rPr>
          <w:rFonts w:ascii="Verdana" w:hAnsi="Verdana"/>
          <w:sz w:val="20"/>
        </w:rPr>
        <w:t>Raji</w:t>
      </w:r>
      <w:proofErr w:type="spellEnd"/>
      <w:r w:rsidRPr="002646AD">
        <w:rPr>
          <w:rFonts w:ascii="Verdana" w:hAnsi="Verdana"/>
          <w:sz w:val="20"/>
        </w:rPr>
        <w:t xml:space="preserve">, sensitiviserer </w:t>
      </w:r>
      <w:proofErr w:type="spellStart"/>
      <w:r w:rsidRPr="002646AD">
        <w:rPr>
          <w:rFonts w:ascii="Verdana" w:hAnsi="Verdana"/>
          <w:sz w:val="20"/>
        </w:rPr>
        <w:t>kjemoresis</w:t>
      </w:r>
      <w:r w:rsidRPr="002646AD">
        <w:rPr>
          <w:rFonts w:ascii="Verdana" w:hAnsi="Verdana"/>
          <w:sz w:val="20"/>
        </w:rPr>
        <w:softHyphen/>
        <w:t>tente</w:t>
      </w:r>
      <w:proofErr w:type="spellEnd"/>
      <w:r w:rsidRPr="002646AD">
        <w:rPr>
          <w:rFonts w:ascii="Verdana" w:hAnsi="Verdana"/>
          <w:sz w:val="20"/>
        </w:rPr>
        <w:t xml:space="preserve"> humane </w:t>
      </w:r>
      <w:proofErr w:type="spellStart"/>
      <w:r w:rsidRPr="002646AD">
        <w:rPr>
          <w:rFonts w:ascii="Verdana" w:hAnsi="Verdana"/>
          <w:sz w:val="20"/>
        </w:rPr>
        <w:t>lymfomcellelinjer</w:t>
      </w:r>
      <w:proofErr w:type="spellEnd"/>
      <w:r w:rsidRPr="002646AD">
        <w:rPr>
          <w:rFonts w:ascii="Verdana" w:hAnsi="Verdana"/>
          <w:sz w:val="20"/>
        </w:rPr>
        <w:t xml:space="preserve"> til difteritoksin, </w:t>
      </w:r>
      <w:proofErr w:type="spellStart"/>
      <w:r w:rsidRPr="002646AD">
        <w:rPr>
          <w:rFonts w:ascii="Verdana" w:hAnsi="Verdana"/>
          <w:sz w:val="20"/>
        </w:rPr>
        <w:t>ricin</w:t>
      </w:r>
      <w:proofErr w:type="spellEnd"/>
      <w:r w:rsidRPr="002646AD">
        <w:rPr>
          <w:rFonts w:ascii="Verdana" w:hAnsi="Verdana"/>
          <w:sz w:val="20"/>
        </w:rPr>
        <w:t xml:space="preserve">, CDDP, </w:t>
      </w:r>
      <w:proofErr w:type="spellStart"/>
      <w:r w:rsidRPr="002646AD">
        <w:rPr>
          <w:rFonts w:ascii="Verdana" w:hAnsi="Verdana"/>
          <w:sz w:val="20"/>
        </w:rPr>
        <w:t>doksorubicin</w:t>
      </w:r>
      <w:proofErr w:type="spellEnd"/>
      <w:r w:rsidRPr="002646AD">
        <w:rPr>
          <w:rFonts w:ascii="Verdana" w:hAnsi="Verdana"/>
          <w:sz w:val="20"/>
        </w:rPr>
        <w:t xml:space="preserve"> og </w:t>
      </w:r>
      <w:proofErr w:type="spellStart"/>
      <w:r w:rsidRPr="002646AD">
        <w:rPr>
          <w:rFonts w:ascii="Verdana" w:hAnsi="Verdana"/>
          <w:sz w:val="20"/>
        </w:rPr>
        <w:t>etoposid</w:t>
      </w:r>
      <w:proofErr w:type="spellEnd"/>
      <w:r w:rsidRPr="002646AD">
        <w:rPr>
          <w:rFonts w:ascii="Verdana" w:hAnsi="Verdana"/>
          <w:sz w:val="20"/>
        </w:rPr>
        <w:t xml:space="preserve">, og induserer </w:t>
      </w:r>
      <w:proofErr w:type="spellStart"/>
      <w:r w:rsidRPr="002646AD">
        <w:rPr>
          <w:rFonts w:ascii="Verdana" w:hAnsi="Verdana"/>
          <w:sz w:val="20"/>
        </w:rPr>
        <w:t>apoptose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gramStart"/>
      <w:r w:rsidRPr="002646AD">
        <w:rPr>
          <w:rFonts w:ascii="Verdana" w:hAnsi="Verdana"/>
          <w:sz w:val="20"/>
        </w:rPr>
        <w:t>i  DHL</w:t>
      </w:r>
      <w:proofErr w:type="gramEnd"/>
      <w:r w:rsidRPr="002646AD">
        <w:rPr>
          <w:rFonts w:ascii="Verdana" w:hAnsi="Verdana"/>
          <w:sz w:val="20"/>
        </w:rPr>
        <w:t>-4 human B-celle-</w:t>
      </w:r>
      <w:proofErr w:type="spellStart"/>
      <w:r w:rsidRPr="002646AD">
        <w:rPr>
          <w:rFonts w:ascii="Verdana" w:hAnsi="Verdana"/>
          <w:sz w:val="20"/>
        </w:rPr>
        <w:t>lymfomlinje</w:t>
      </w:r>
      <w:proofErr w:type="spellEnd"/>
      <w:r w:rsidRPr="002646AD">
        <w:rPr>
          <w:rFonts w:ascii="Verdana" w:hAnsi="Verdana"/>
          <w:sz w:val="20"/>
        </w:rPr>
        <w:t xml:space="preserve"> på en doseavhengig måte (5).  I mennesker er halveringstiden for antistoffet om</w:t>
      </w:r>
      <w:r w:rsidRPr="002646AD">
        <w:rPr>
          <w:rFonts w:ascii="Verdana" w:hAnsi="Verdana"/>
          <w:sz w:val="20"/>
        </w:rPr>
        <w:softHyphen/>
        <w:t xml:space="preserve">trent 60 timer etter første infusjon og øker med hver dose til 174 timer etter fjerde infusjon.  </w:t>
      </w:r>
      <w:proofErr w:type="spellStart"/>
      <w:r w:rsidRPr="002646AD">
        <w:rPr>
          <w:rFonts w:ascii="Verdana" w:hAnsi="Verdana"/>
          <w:sz w:val="20"/>
        </w:rPr>
        <w:t>Immunogenisiteten</w:t>
      </w:r>
      <w:proofErr w:type="spellEnd"/>
      <w:r w:rsidRPr="002646AD">
        <w:rPr>
          <w:rFonts w:ascii="Verdana" w:hAnsi="Verdana"/>
          <w:sz w:val="20"/>
        </w:rPr>
        <w:t xml:space="preserve"> av antistoffet er lav; av 355 pasienter i 7 kliniske studier hadde kun 3 (&lt;</w:t>
      </w:r>
      <w:proofErr w:type="gramStart"/>
      <w:r w:rsidRPr="002646AD">
        <w:rPr>
          <w:rFonts w:ascii="Verdana" w:hAnsi="Verdana"/>
          <w:sz w:val="20"/>
        </w:rPr>
        <w:t>1%</w:t>
      </w:r>
      <w:proofErr w:type="gramEnd"/>
      <w:r w:rsidRPr="002646AD">
        <w:rPr>
          <w:rFonts w:ascii="Verdana" w:hAnsi="Verdana"/>
          <w:sz w:val="20"/>
        </w:rPr>
        <w:t>) en påviselig anti-</w:t>
      </w:r>
      <w:proofErr w:type="spellStart"/>
      <w:r w:rsidRPr="002646AD">
        <w:rPr>
          <w:rFonts w:ascii="Verdana" w:hAnsi="Verdana"/>
          <w:sz w:val="20"/>
        </w:rPr>
        <w:t>kimerisk</w:t>
      </w:r>
      <w:proofErr w:type="spellEnd"/>
      <w:r w:rsidRPr="002646AD">
        <w:rPr>
          <w:rFonts w:ascii="Verdana" w:hAnsi="Verdana"/>
          <w:sz w:val="20"/>
        </w:rPr>
        <w:t xml:space="preserve"> antistoff</w:t>
      </w:r>
      <w:r w:rsidRPr="002646AD">
        <w:rPr>
          <w:rFonts w:ascii="Verdana" w:hAnsi="Verdana"/>
          <w:sz w:val="20"/>
        </w:rPr>
        <w:softHyphen/>
        <w:t>(HACA)respons.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ble generelt utformet ved å bruke det </w:t>
      </w:r>
      <w:proofErr w:type="spellStart"/>
      <w:r w:rsidRPr="002646AD">
        <w:rPr>
          <w:rFonts w:ascii="Verdana" w:hAnsi="Verdana"/>
          <w:sz w:val="20"/>
        </w:rPr>
        <w:t>murine</w:t>
      </w:r>
      <w:proofErr w:type="spellEnd"/>
      <w:r w:rsidRPr="002646AD">
        <w:rPr>
          <w:rFonts w:ascii="Verdana" w:hAnsi="Verdana"/>
          <w:sz w:val="20"/>
        </w:rPr>
        <w:t xml:space="preserve"> 2B8 antistoff.  2B8-antistoffet har også blitt konjugert til forskjellige radiomarkører for diagnostiske og terapeu</w:t>
      </w:r>
      <w:r w:rsidRPr="002646AD">
        <w:rPr>
          <w:rFonts w:ascii="Verdana" w:hAnsi="Verdana"/>
          <w:sz w:val="20"/>
        </w:rPr>
        <w:softHyphen/>
        <w:t xml:space="preserve">tiske formål.  I denne hensikt beskriver samtidig søknad </w:t>
      </w:r>
      <w:proofErr w:type="spellStart"/>
      <w:r w:rsidRPr="002646AD">
        <w:rPr>
          <w:rFonts w:ascii="Verdana" w:hAnsi="Verdana"/>
          <w:sz w:val="20"/>
        </w:rPr>
        <w:t>serienr</w:t>
      </w:r>
      <w:proofErr w:type="spellEnd"/>
      <w:r w:rsidRPr="002646AD">
        <w:rPr>
          <w:rFonts w:ascii="Verdana" w:hAnsi="Verdana"/>
          <w:sz w:val="20"/>
        </w:rPr>
        <w:t xml:space="preserve">. 08/475.813, 08/475.815 og 08/478.967, radiomerkede anti-CD20-konjugater for diagnostisk "avbildning" av </w:t>
      </w:r>
      <w:proofErr w:type="spellStart"/>
      <w:r w:rsidRPr="002646AD">
        <w:rPr>
          <w:rFonts w:ascii="Verdana" w:hAnsi="Verdana"/>
          <w:sz w:val="20"/>
        </w:rPr>
        <w:t>B-celle-lym</w:t>
      </w:r>
      <w:r w:rsidRPr="002646AD">
        <w:rPr>
          <w:rFonts w:ascii="Verdana" w:hAnsi="Verdana"/>
          <w:sz w:val="20"/>
        </w:rPr>
        <w:softHyphen/>
        <w:t>fom</w:t>
      </w:r>
      <w:r w:rsidRPr="002646AD">
        <w:rPr>
          <w:rFonts w:ascii="Verdana" w:hAnsi="Verdana"/>
          <w:sz w:val="20"/>
        </w:rPr>
        <w:softHyphen/>
        <w:t>svulster</w:t>
      </w:r>
      <w:proofErr w:type="spellEnd"/>
      <w:r w:rsidRPr="002646AD">
        <w:rPr>
          <w:rFonts w:ascii="Verdana" w:hAnsi="Verdana"/>
          <w:sz w:val="20"/>
        </w:rPr>
        <w:t xml:space="preserve"> før administrasjonen av terapeutisk antistoff.  "In2B8"-konjugat omfatter </w:t>
      </w:r>
      <w:proofErr w:type="spellStart"/>
      <w:r w:rsidRPr="002646AD">
        <w:rPr>
          <w:rFonts w:ascii="Verdana" w:hAnsi="Verdana"/>
          <w:sz w:val="20"/>
        </w:rPr>
        <w:t>murint</w:t>
      </w:r>
      <w:proofErr w:type="spellEnd"/>
      <w:r w:rsidRPr="002646AD">
        <w:rPr>
          <w:rFonts w:ascii="Verdana" w:hAnsi="Verdana"/>
          <w:sz w:val="20"/>
        </w:rPr>
        <w:t xml:space="preserve"> monoklonalt antistoff 2B8 som er spesifikt for humant anti-CD20 antigen som er festet til Indium[111](</w:t>
      </w:r>
      <w:r w:rsidRPr="002646AD">
        <w:rPr>
          <w:rFonts w:ascii="Verdana" w:hAnsi="Verdana"/>
          <w:sz w:val="20"/>
          <w:vertAlign w:val="superscript"/>
        </w:rPr>
        <w:t>111</w:t>
      </w:r>
      <w:r w:rsidRPr="002646AD">
        <w:rPr>
          <w:rFonts w:ascii="Verdana" w:hAnsi="Verdana"/>
          <w:sz w:val="20"/>
        </w:rPr>
        <w:t xml:space="preserve">In) via en </w:t>
      </w:r>
      <w:proofErr w:type="spellStart"/>
      <w:r w:rsidRPr="002646AD">
        <w:rPr>
          <w:rFonts w:ascii="Verdana" w:hAnsi="Verdana"/>
          <w:sz w:val="20"/>
        </w:rPr>
        <w:t>bifunksjonell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chelator</w:t>
      </w:r>
      <w:proofErr w:type="spellEnd"/>
      <w:r w:rsidRPr="002646AD">
        <w:rPr>
          <w:rFonts w:ascii="Verdana" w:hAnsi="Verdana"/>
          <w:sz w:val="20"/>
        </w:rPr>
        <w:t>, dvs. MX-DTPA (</w:t>
      </w:r>
      <w:proofErr w:type="spellStart"/>
      <w:r w:rsidRPr="002646AD">
        <w:rPr>
          <w:rFonts w:ascii="Verdana" w:hAnsi="Verdana"/>
          <w:sz w:val="20"/>
        </w:rPr>
        <w:t>dietylentriaminpentaeddiksyre</w:t>
      </w:r>
      <w:proofErr w:type="spellEnd"/>
      <w:r w:rsidRPr="002646AD">
        <w:rPr>
          <w:rFonts w:ascii="Verdana" w:hAnsi="Verdana"/>
          <w:sz w:val="20"/>
        </w:rPr>
        <w:t xml:space="preserve">) som omfatter en 1:1 blanding av 1-isotiocyanatobenzyl-3-metyl-DTPA og 1-metyl-3-isotiocyanatobenzyl-DTPA.  Indium [111] er valgt som et diagnostisk </w:t>
      </w:r>
      <w:proofErr w:type="spellStart"/>
      <w:r w:rsidRPr="002646AD">
        <w:rPr>
          <w:rFonts w:ascii="Verdana" w:hAnsi="Verdana"/>
          <w:sz w:val="20"/>
        </w:rPr>
        <w:t>radionukleid</w:t>
      </w:r>
      <w:proofErr w:type="spellEnd"/>
      <w:r w:rsidRPr="002646AD">
        <w:rPr>
          <w:rFonts w:ascii="Verdana" w:hAnsi="Verdana"/>
          <w:sz w:val="20"/>
        </w:rPr>
        <w:t xml:space="preserve"> fordi det utstråler gammastråling og finner tidligere bruk som avbildningsmiddel.</w:t>
      </w:r>
    </w:p>
    <w:p w:rsidR="00893FE2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Patenter angående chelatorer og </w:t>
      </w:r>
      <w:proofErr w:type="spellStart"/>
      <w:r w:rsidRPr="002646AD">
        <w:rPr>
          <w:rFonts w:ascii="Verdana" w:hAnsi="Verdana"/>
          <w:sz w:val="20"/>
        </w:rPr>
        <w:t>chelatorkonjugater</w:t>
      </w:r>
      <w:proofErr w:type="spellEnd"/>
      <w:r w:rsidRPr="002646AD">
        <w:rPr>
          <w:rFonts w:ascii="Verdana" w:hAnsi="Verdana"/>
          <w:sz w:val="20"/>
        </w:rPr>
        <w:t xml:space="preserve"> er kjent innen faget.  For eksempel er US patent nr. </w:t>
      </w:r>
      <w:proofErr w:type="gramStart"/>
      <w:r w:rsidRPr="002646AD">
        <w:rPr>
          <w:rFonts w:ascii="Verdana" w:hAnsi="Verdana"/>
          <w:sz w:val="20"/>
        </w:rPr>
        <w:t>4.831.175</w:t>
      </w:r>
      <w:proofErr w:type="gramEnd"/>
      <w:r w:rsidRPr="002646AD">
        <w:rPr>
          <w:rFonts w:ascii="Verdana" w:hAnsi="Verdana"/>
          <w:sz w:val="20"/>
        </w:rPr>
        <w:t xml:space="preserve"> til </w:t>
      </w:r>
      <w:proofErr w:type="spellStart"/>
      <w:r w:rsidRPr="002646AD">
        <w:rPr>
          <w:rFonts w:ascii="Verdana" w:hAnsi="Verdana"/>
          <w:sz w:val="20"/>
        </w:rPr>
        <w:t>Gansow</w:t>
      </w:r>
      <w:proofErr w:type="spellEnd"/>
      <w:r w:rsidRPr="002646AD">
        <w:rPr>
          <w:rFonts w:ascii="Verdana" w:hAnsi="Verdana"/>
          <w:sz w:val="20"/>
        </w:rPr>
        <w:t xml:space="preserve"> rettet mot </w:t>
      </w:r>
      <w:proofErr w:type="spellStart"/>
      <w:r w:rsidRPr="002646AD">
        <w:rPr>
          <w:rFonts w:ascii="Verdana" w:hAnsi="Verdana"/>
          <w:sz w:val="20"/>
        </w:rPr>
        <w:t>polysubstituerte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dietylentriaminpenta</w:t>
      </w:r>
      <w:r w:rsidRPr="002646AD">
        <w:rPr>
          <w:rFonts w:ascii="Verdana" w:hAnsi="Verdana"/>
          <w:sz w:val="20"/>
        </w:rPr>
        <w:softHyphen/>
        <w:t>eddiksyrechelater</w:t>
      </w:r>
      <w:proofErr w:type="spellEnd"/>
      <w:r w:rsidRPr="002646AD">
        <w:rPr>
          <w:rFonts w:ascii="Verdana" w:hAnsi="Verdana"/>
          <w:sz w:val="20"/>
        </w:rPr>
        <w:t xml:space="preserve"> og </w:t>
      </w:r>
      <w:proofErr w:type="spellStart"/>
      <w:r w:rsidRPr="002646AD">
        <w:rPr>
          <w:rFonts w:ascii="Verdana" w:hAnsi="Verdana"/>
          <w:sz w:val="20"/>
        </w:rPr>
        <w:t>proteinkonjugater</w:t>
      </w:r>
      <w:proofErr w:type="spellEnd"/>
      <w:r w:rsidRPr="002646AD">
        <w:rPr>
          <w:rFonts w:ascii="Verdana" w:hAnsi="Verdana"/>
          <w:sz w:val="20"/>
        </w:rPr>
        <w:t xml:space="preserve"> inneholdende tilsva</w:t>
      </w:r>
      <w:r w:rsidRPr="002646AD">
        <w:rPr>
          <w:rFonts w:ascii="Verdana" w:hAnsi="Verdana"/>
          <w:sz w:val="20"/>
        </w:rPr>
        <w:softHyphen/>
        <w:t>rende, samt fremgangsmåter for deres fremstilling.  US pa</w:t>
      </w:r>
      <w:r w:rsidRPr="002646AD">
        <w:rPr>
          <w:rFonts w:ascii="Verdana" w:hAnsi="Verdana"/>
          <w:sz w:val="20"/>
        </w:rPr>
        <w:softHyphen/>
        <w:t xml:space="preserve">tent nr. </w:t>
      </w:r>
      <w:proofErr w:type="gramStart"/>
      <w:r w:rsidRPr="002646AD">
        <w:rPr>
          <w:rFonts w:ascii="Verdana" w:hAnsi="Verdana"/>
          <w:sz w:val="20"/>
        </w:rPr>
        <w:t>5.099.069</w:t>
      </w:r>
      <w:proofErr w:type="gramEnd"/>
      <w:r w:rsidRPr="002646AD">
        <w:rPr>
          <w:rFonts w:ascii="Verdana" w:hAnsi="Verdana"/>
          <w:sz w:val="20"/>
        </w:rPr>
        <w:t xml:space="preserve">, 5.246.692, 5.286.850 og 5.124.471 til </w:t>
      </w:r>
      <w:proofErr w:type="spellStart"/>
      <w:r w:rsidRPr="002646AD">
        <w:rPr>
          <w:rFonts w:ascii="Verdana" w:hAnsi="Verdana"/>
          <w:sz w:val="20"/>
        </w:rPr>
        <w:t>Gansow</w:t>
      </w:r>
      <w:proofErr w:type="spellEnd"/>
      <w:r w:rsidRPr="002646AD">
        <w:rPr>
          <w:rFonts w:ascii="Verdana" w:hAnsi="Verdana"/>
          <w:sz w:val="20"/>
        </w:rPr>
        <w:t xml:space="preserve"> angår også </w:t>
      </w:r>
      <w:proofErr w:type="spellStart"/>
      <w:r w:rsidRPr="002646AD">
        <w:rPr>
          <w:rFonts w:ascii="Verdana" w:hAnsi="Verdana"/>
          <w:sz w:val="20"/>
        </w:rPr>
        <w:t>polysubstituerte</w:t>
      </w:r>
      <w:proofErr w:type="spellEnd"/>
      <w:r w:rsidRPr="002646AD">
        <w:rPr>
          <w:rFonts w:ascii="Verdana" w:hAnsi="Verdana"/>
          <w:sz w:val="20"/>
        </w:rPr>
        <w:t xml:space="preserve"> DTPA-chelater.  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Den spesifikke </w:t>
      </w:r>
      <w:proofErr w:type="spellStart"/>
      <w:r w:rsidRPr="002646AD">
        <w:rPr>
          <w:rFonts w:ascii="Verdana" w:hAnsi="Verdana"/>
          <w:sz w:val="20"/>
        </w:rPr>
        <w:t>bifunksjonelle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chelator</w:t>
      </w:r>
      <w:proofErr w:type="spellEnd"/>
      <w:r w:rsidRPr="002646AD">
        <w:rPr>
          <w:rFonts w:ascii="Verdana" w:hAnsi="Verdana"/>
          <w:sz w:val="20"/>
        </w:rPr>
        <w:t xml:space="preserve"> benyttet for å lette chelatering i MX-DTPA ble valgt ettersom denne innehar høy affinitet for trivalente metaller, og tilfører økede tumor-til-ikke-tumor forhold, minsket benopptak og større </w:t>
      </w:r>
      <w:r w:rsidRPr="002646AD">
        <w:rPr>
          <w:rFonts w:ascii="Verdana" w:hAnsi="Verdana"/>
          <w:i/>
          <w:sz w:val="20"/>
        </w:rPr>
        <w:t>in vivo</w:t>
      </w:r>
      <w:r w:rsidRPr="002646AD">
        <w:rPr>
          <w:rFonts w:ascii="Verdana" w:hAnsi="Verdana"/>
          <w:sz w:val="20"/>
        </w:rPr>
        <w:t xml:space="preserve"> retensjon av </w:t>
      </w:r>
      <w:proofErr w:type="spellStart"/>
      <w:r w:rsidRPr="002646AD">
        <w:rPr>
          <w:rFonts w:ascii="Verdana" w:hAnsi="Verdana"/>
          <w:sz w:val="20"/>
        </w:rPr>
        <w:t>radionukleid</w:t>
      </w:r>
      <w:proofErr w:type="spellEnd"/>
      <w:r w:rsidRPr="002646AD">
        <w:rPr>
          <w:rFonts w:ascii="Verdana" w:hAnsi="Verdana"/>
          <w:sz w:val="20"/>
        </w:rPr>
        <w:t xml:space="preserve"> ved målområder, dvs. </w:t>
      </w:r>
      <w:proofErr w:type="spellStart"/>
      <w:r w:rsidRPr="002646AD">
        <w:rPr>
          <w:rFonts w:ascii="Verdana" w:hAnsi="Verdana"/>
          <w:sz w:val="20"/>
        </w:rPr>
        <w:t>B-celle-lym</w:t>
      </w:r>
      <w:r w:rsidRPr="002646AD">
        <w:rPr>
          <w:rFonts w:ascii="Verdana" w:hAnsi="Verdana"/>
          <w:sz w:val="20"/>
        </w:rPr>
        <w:softHyphen/>
        <w:t>fom</w:t>
      </w:r>
      <w:proofErr w:type="spellEnd"/>
      <w:r w:rsidRPr="002646AD">
        <w:rPr>
          <w:rFonts w:ascii="Verdana" w:hAnsi="Verdana"/>
          <w:sz w:val="20"/>
        </w:rPr>
        <w:t xml:space="preserve"> svulstområder.  Imidlertid er andre </w:t>
      </w:r>
      <w:proofErr w:type="spellStart"/>
      <w:r w:rsidRPr="002646AD">
        <w:rPr>
          <w:rFonts w:ascii="Verdana" w:hAnsi="Verdana"/>
          <w:sz w:val="20"/>
        </w:rPr>
        <w:t>bifunksjonelle</w:t>
      </w:r>
      <w:proofErr w:type="spellEnd"/>
      <w:r w:rsidRPr="002646AD">
        <w:rPr>
          <w:rFonts w:ascii="Verdana" w:hAnsi="Verdana"/>
          <w:sz w:val="20"/>
        </w:rPr>
        <w:t xml:space="preserve"> che</w:t>
      </w:r>
      <w:r w:rsidRPr="002646AD">
        <w:rPr>
          <w:rFonts w:ascii="Verdana" w:hAnsi="Verdana"/>
          <w:sz w:val="20"/>
        </w:rPr>
        <w:softHyphen/>
        <w:t>latorer kjent innen faget og kan også bli brukt på gunstig måte i tumorterapi.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Også beskrevet i US patent nr. </w:t>
      </w:r>
      <w:proofErr w:type="gramStart"/>
      <w:r w:rsidRPr="002646AD">
        <w:rPr>
          <w:rFonts w:ascii="Verdana" w:hAnsi="Verdana"/>
          <w:sz w:val="20"/>
        </w:rPr>
        <w:t>5.736.137</w:t>
      </w:r>
      <w:proofErr w:type="gramEnd"/>
      <w:r w:rsidRPr="002646AD">
        <w:rPr>
          <w:rFonts w:ascii="Verdana" w:hAnsi="Verdana"/>
          <w:sz w:val="20"/>
        </w:rPr>
        <w:t xml:space="preserve"> er radiomerkede terapeutiske antistoff for målretting og destruksjon av B-celle-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 xml:space="preserve"> og tumor-celler.  Spesielt </w:t>
      </w:r>
      <w:r w:rsidRPr="002646AD">
        <w:rPr>
          <w:rFonts w:ascii="Verdana" w:hAnsi="Verdana"/>
          <w:sz w:val="20"/>
        </w:rPr>
        <w:lastRenderedPageBreak/>
        <w:t>omfatter Y2B8-konjugatet det samme anti-humane CD20-murine monoklonale antistoff, 2B8, bundet til yttrium-[90](</w:t>
      </w:r>
      <w:r w:rsidRPr="002646AD">
        <w:rPr>
          <w:rFonts w:ascii="Verdana" w:hAnsi="Verdana"/>
          <w:sz w:val="20"/>
          <w:vertAlign w:val="superscript"/>
        </w:rPr>
        <w:t>90</w:t>
      </w:r>
      <w:r w:rsidRPr="002646AD">
        <w:rPr>
          <w:rFonts w:ascii="Verdana" w:hAnsi="Verdana"/>
          <w:sz w:val="20"/>
        </w:rPr>
        <w:t xml:space="preserve">Y] via den samme </w:t>
      </w:r>
      <w:proofErr w:type="spellStart"/>
      <w:r w:rsidRPr="002646AD">
        <w:rPr>
          <w:rFonts w:ascii="Verdana" w:hAnsi="Verdana"/>
          <w:sz w:val="20"/>
        </w:rPr>
        <w:t>bifunksjonelle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chelator</w:t>
      </w:r>
      <w:proofErr w:type="spellEnd"/>
      <w:r w:rsidRPr="002646AD">
        <w:rPr>
          <w:rFonts w:ascii="Verdana" w:hAnsi="Verdana"/>
          <w:sz w:val="20"/>
        </w:rPr>
        <w:t xml:space="preserve">.  Dette </w:t>
      </w:r>
      <w:proofErr w:type="spellStart"/>
      <w:r w:rsidRPr="002646AD">
        <w:rPr>
          <w:rFonts w:ascii="Verdana" w:hAnsi="Verdana"/>
          <w:sz w:val="20"/>
        </w:rPr>
        <w:t>radionukleid</w:t>
      </w:r>
      <w:proofErr w:type="spellEnd"/>
      <w:r w:rsidRPr="002646AD">
        <w:rPr>
          <w:rFonts w:ascii="Verdana" w:hAnsi="Verdana"/>
          <w:sz w:val="20"/>
        </w:rPr>
        <w:t xml:space="preserve"> ble valgt for terapi av flere grunner.  64-timers </w:t>
      </w:r>
      <w:proofErr w:type="gramStart"/>
      <w:r w:rsidRPr="002646AD">
        <w:rPr>
          <w:rFonts w:ascii="Verdana" w:hAnsi="Verdana"/>
          <w:sz w:val="20"/>
        </w:rPr>
        <w:t>halveringstiden</w:t>
      </w:r>
      <w:proofErr w:type="gramEnd"/>
      <w:r w:rsidRPr="002646AD">
        <w:rPr>
          <w:rFonts w:ascii="Verdana" w:hAnsi="Verdana"/>
          <w:sz w:val="20"/>
        </w:rPr>
        <w:t xml:space="preserve"> til </w:t>
      </w:r>
      <w:r w:rsidRPr="002646AD">
        <w:rPr>
          <w:rFonts w:ascii="Verdana" w:hAnsi="Verdana"/>
          <w:sz w:val="20"/>
          <w:vertAlign w:val="superscript"/>
        </w:rPr>
        <w:t>90</w:t>
      </w:r>
      <w:r w:rsidRPr="002646AD">
        <w:rPr>
          <w:rFonts w:ascii="Verdana" w:hAnsi="Verdana"/>
          <w:sz w:val="20"/>
        </w:rPr>
        <w:t xml:space="preserve">Y er lang nok til å tillate antistoffakkumulering i en svulst og, ulikt, for eksempel </w:t>
      </w:r>
      <w:r w:rsidRPr="002646AD">
        <w:rPr>
          <w:rFonts w:ascii="Verdana" w:hAnsi="Verdana"/>
          <w:sz w:val="20"/>
          <w:vertAlign w:val="superscript"/>
        </w:rPr>
        <w:t>131</w:t>
      </w:r>
      <w:r w:rsidRPr="002646AD">
        <w:rPr>
          <w:rFonts w:ascii="Verdana" w:hAnsi="Verdana"/>
          <w:sz w:val="20"/>
        </w:rPr>
        <w:t>I er den en ren betastråler av høy energi uten noen medfølgende gammastråling i sin ned</w:t>
      </w:r>
      <w:r w:rsidRPr="002646AD">
        <w:rPr>
          <w:rFonts w:ascii="Verdana" w:hAnsi="Verdana"/>
          <w:sz w:val="20"/>
        </w:rPr>
        <w:softHyphen/>
        <w:t xml:space="preserve">brytning med et område på 100 til 1.000 </w:t>
      </w:r>
      <w:proofErr w:type="spellStart"/>
      <w:r w:rsidRPr="002646AD">
        <w:rPr>
          <w:rFonts w:ascii="Verdana" w:hAnsi="Verdana"/>
          <w:sz w:val="20"/>
        </w:rPr>
        <w:t>cellediametre</w:t>
      </w:r>
      <w:proofErr w:type="spellEnd"/>
      <w:r w:rsidRPr="002646AD">
        <w:rPr>
          <w:rFonts w:ascii="Verdana" w:hAnsi="Verdana"/>
          <w:sz w:val="20"/>
        </w:rPr>
        <w:t>.  Den minste mengde gjennomtrengende stråling muliggjør administ</w:t>
      </w:r>
      <w:r w:rsidRPr="002646AD">
        <w:rPr>
          <w:rFonts w:ascii="Verdana" w:hAnsi="Verdana"/>
          <w:sz w:val="20"/>
        </w:rPr>
        <w:softHyphen/>
        <w:t xml:space="preserve">rasjon utenfor pasienten av </w:t>
      </w:r>
      <w:r w:rsidRPr="002646AD">
        <w:rPr>
          <w:rFonts w:ascii="Verdana" w:hAnsi="Verdana"/>
          <w:sz w:val="20"/>
          <w:vertAlign w:val="superscript"/>
        </w:rPr>
        <w:t>90</w:t>
      </w:r>
      <w:r w:rsidRPr="002646AD">
        <w:rPr>
          <w:rFonts w:ascii="Verdana" w:hAnsi="Verdana"/>
          <w:sz w:val="20"/>
        </w:rPr>
        <w:t xml:space="preserve">Y-merkede antistoff.  Videre er </w:t>
      </w:r>
      <w:proofErr w:type="spellStart"/>
      <w:r w:rsidRPr="002646AD">
        <w:rPr>
          <w:rFonts w:ascii="Verdana" w:hAnsi="Verdana"/>
          <w:sz w:val="20"/>
        </w:rPr>
        <w:t>internalisering</w:t>
      </w:r>
      <w:proofErr w:type="spellEnd"/>
      <w:r w:rsidRPr="002646AD">
        <w:rPr>
          <w:rFonts w:ascii="Verdana" w:hAnsi="Verdana"/>
          <w:sz w:val="20"/>
        </w:rPr>
        <w:t xml:space="preserve"> av merkede antistoff ikke nødvendig for celleavliving, og den lokale emisjon av ioniserende strå</w:t>
      </w:r>
      <w:r w:rsidRPr="002646AD">
        <w:rPr>
          <w:rFonts w:ascii="Verdana" w:hAnsi="Verdana"/>
          <w:sz w:val="20"/>
        </w:rPr>
        <w:softHyphen/>
        <w:t>ling bør være dødelig for hosliggende tumorceller som mang</w:t>
      </w:r>
      <w:r w:rsidRPr="002646AD">
        <w:rPr>
          <w:rFonts w:ascii="Verdana" w:hAnsi="Verdana"/>
          <w:sz w:val="20"/>
        </w:rPr>
        <w:softHyphen/>
        <w:t>ler målantigenet.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Fordi </w:t>
      </w:r>
      <w:r w:rsidRPr="002646AD">
        <w:rPr>
          <w:rFonts w:ascii="Verdana" w:hAnsi="Verdana"/>
          <w:sz w:val="20"/>
          <w:vertAlign w:val="superscript"/>
        </w:rPr>
        <w:t>90</w:t>
      </w:r>
      <w:r w:rsidRPr="002646AD">
        <w:rPr>
          <w:rFonts w:ascii="Verdana" w:hAnsi="Verdana"/>
          <w:sz w:val="20"/>
        </w:rPr>
        <w:t xml:space="preserve">Y </w:t>
      </w:r>
      <w:proofErr w:type="spellStart"/>
      <w:r w:rsidRPr="002646AD">
        <w:rPr>
          <w:rFonts w:ascii="Verdana" w:hAnsi="Verdana"/>
          <w:sz w:val="20"/>
        </w:rPr>
        <w:t>radionukleidet</w:t>
      </w:r>
      <w:proofErr w:type="spellEnd"/>
      <w:r w:rsidRPr="002646AD">
        <w:rPr>
          <w:rFonts w:ascii="Verdana" w:hAnsi="Verdana"/>
          <w:sz w:val="20"/>
        </w:rPr>
        <w:t xml:space="preserve"> var bundet til 2B8-antistoffet ved å bruke samme </w:t>
      </w:r>
      <w:proofErr w:type="spellStart"/>
      <w:r w:rsidRPr="002646AD">
        <w:rPr>
          <w:rFonts w:ascii="Verdana" w:hAnsi="Verdana"/>
          <w:sz w:val="20"/>
        </w:rPr>
        <w:t>bifunksjonelle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chelatormolekyl</w:t>
      </w:r>
      <w:proofErr w:type="spellEnd"/>
      <w:r w:rsidRPr="002646AD">
        <w:rPr>
          <w:rFonts w:ascii="Verdana" w:hAnsi="Verdana"/>
          <w:sz w:val="20"/>
        </w:rPr>
        <w:t xml:space="preserve"> MX-DTPA, har Y2B8-konjugatet de samme fordeler som i avsnittet ovenfor, for eksempel øket tilbakeholdelse av </w:t>
      </w:r>
      <w:proofErr w:type="spellStart"/>
      <w:r w:rsidRPr="002646AD">
        <w:rPr>
          <w:rFonts w:ascii="Verdana" w:hAnsi="Verdana"/>
          <w:sz w:val="20"/>
        </w:rPr>
        <w:t>radionukleid</w:t>
      </w:r>
      <w:proofErr w:type="spellEnd"/>
      <w:r w:rsidRPr="002646AD">
        <w:rPr>
          <w:rFonts w:ascii="Verdana" w:hAnsi="Verdana"/>
          <w:sz w:val="20"/>
        </w:rPr>
        <w:t xml:space="preserve"> ved et målområde (tumor).  Imidlertid ulikt </w:t>
      </w:r>
      <w:r w:rsidRPr="002646AD">
        <w:rPr>
          <w:rFonts w:ascii="Verdana" w:hAnsi="Verdana"/>
          <w:sz w:val="20"/>
          <w:vertAlign w:val="superscript"/>
        </w:rPr>
        <w:t>111</w:t>
      </w:r>
      <w:r w:rsidRPr="002646AD">
        <w:rPr>
          <w:rFonts w:ascii="Verdana" w:hAnsi="Verdana"/>
          <w:sz w:val="20"/>
        </w:rPr>
        <w:t>In, kan det ikke bli brukt for avbildende formål grunnet mangelen på gammastrå</w:t>
      </w:r>
      <w:r w:rsidRPr="002646AD">
        <w:rPr>
          <w:rFonts w:ascii="Verdana" w:hAnsi="Verdana"/>
          <w:sz w:val="20"/>
        </w:rPr>
        <w:softHyphen/>
        <w:t>ling assosiert med dette.  Således kan et diagnostisk "av</w:t>
      </w:r>
      <w:r w:rsidRPr="002646AD">
        <w:rPr>
          <w:rFonts w:ascii="Verdana" w:hAnsi="Verdana"/>
          <w:sz w:val="20"/>
        </w:rPr>
        <w:softHyphen/>
        <w:t xml:space="preserve">bildende" </w:t>
      </w:r>
      <w:proofErr w:type="spellStart"/>
      <w:r w:rsidRPr="002646AD">
        <w:rPr>
          <w:rFonts w:ascii="Verdana" w:hAnsi="Verdana"/>
          <w:sz w:val="20"/>
        </w:rPr>
        <w:t>radionukleid</w:t>
      </w:r>
      <w:proofErr w:type="spellEnd"/>
      <w:r w:rsidRPr="002646AD">
        <w:rPr>
          <w:rFonts w:ascii="Verdana" w:hAnsi="Verdana"/>
          <w:sz w:val="20"/>
        </w:rPr>
        <w:t xml:space="preserve">, så som </w:t>
      </w:r>
      <w:r w:rsidRPr="002646AD">
        <w:rPr>
          <w:rFonts w:ascii="Verdana" w:hAnsi="Verdana"/>
          <w:sz w:val="20"/>
          <w:vertAlign w:val="superscript"/>
        </w:rPr>
        <w:t>111</w:t>
      </w:r>
      <w:r w:rsidRPr="002646AD">
        <w:rPr>
          <w:rFonts w:ascii="Verdana" w:hAnsi="Verdana"/>
          <w:sz w:val="20"/>
        </w:rPr>
        <w:t>In bli brukt for å be</w:t>
      </w:r>
      <w:r w:rsidRPr="002646AD">
        <w:rPr>
          <w:rFonts w:ascii="Verdana" w:hAnsi="Verdana"/>
          <w:sz w:val="20"/>
        </w:rPr>
        <w:softHyphen/>
        <w:t xml:space="preserve">stemme beliggenheten og relativ størrelse av en svulst før/etter administrasjonen av terapeutiske </w:t>
      </w:r>
      <w:proofErr w:type="spellStart"/>
      <w:r w:rsidRPr="002646AD">
        <w:rPr>
          <w:rFonts w:ascii="Verdana" w:hAnsi="Verdana"/>
          <w:sz w:val="20"/>
        </w:rPr>
        <w:t>kimeriske</w:t>
      </w:r>
      <w:proofErr w:type="spellEnd"/>
      <w:r w:rsidRPr="002646AD">
        <w:rPr>
          <w:rFonts w:ascii="Verdana" w:hAnsi="Verdana"/>
          <w:sz w:val="20"/>
        </w:rPr>
        <w:t xml:space="preserve"> eller </w:t>
      </w:r>
      <w:r w:rsidRPr="002646AD">
        <w:rPr>
          <w:rFonts w:ascii="Verdana" w:hAnsi="Verdana"/>
          <w:sz w:val="20"/>
          <w:vertAlign w:val="superscript"/>
        </w:rPr>
        <w:t>90</w:t>
      </w:r>
      <w:r w:rsidRPr="002646AD">
        <w:rPr>
          <w:rFonts w:ascii="Verdana" w:hAnsi="Verdana"/>
          <w:sz w:val="20"/>
        </w:rPr>
        <w:t xml:space="preserve">Y-merkede antistoff i de kombinerte behandlinger ifølge oppfinnelsen.  Ytterligere tillater indium-merket antistoff at </w:t>
      </w:r>
      <w:proofErr w:type="spellStart"/>
      <w:r w:rsidRPr="002646AD">
        <w:rPr>
          <w:rFonts w:ascii="Verdana" w:hAnsi="Verdana"/>
          <w:sz w:val="20"/>
        </w:rPr>
        <w:t>dosimertrisk</w:t>
      </w:r>
      <w:proofErr w:type="spellEnd"/>
      <w:r w:rsidRPr="002646AD">
        <w:rPr>
          <w:rFonts w:ascii="Verdana" w:hAnsi="Verdana"/>
          <w:sz w:val="20"/>
        </w:rPr>
        <w:t xml:space="preserve"> påvisning blir foretatt.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Avhengig av den tiltenkte bruk for antistoffet, dvs. som et diagnostisk eller terapeutisk reagens, er andre </w:t>
      </w:r>
      <w:proofErr w:type="spellStart"/>
      <w:r w:rsidRPr="002646AD">
        <w:rPr>
          <w:rFonts w:ascii="Verdana" w:hAnsi="Verdana"/>
          <w:sz w:val="20"/>
        </w:rPr>
        <w:t>radiomar</w:t>
      </w:r>
      <w:r w:rsidRPr="002646AD">
        <w:rPr>
          <w:rFonts w:ascii="Verdana" w:hAnsi="Verdana"/>
          <w:sz w:val="20"/>
        </w:rPr>
        <w:softHyphen/>
        <w:t>kører</w:t>
      </w:r>
      <w:proofErr w:type="spellEnd"/>
      <w:r w:rsidRPr="002646AD">
        <w:rPr>
          <w:rFonts w:ascii="Verdana" w:hAnsi="Verdana"/>
          <w:sz w:val="20"/>
        </w:rPr>
        <w:t xml:space="preserve"> kjent innen faget og har blitt brukt for lignende formål. For eksempel innbefatter radionuklider som har blitt brukt i klinisk diagnose </w:t>
      </w:r>
      <w:r w:rsidRPr="002646AD">
        <w:rPr>
          <w:rFonts w:ascii="Verdana" w:hAnsi="Verdana"/>
          <w:sz w:val="20"/>
          <w:vertAlign w:val="superscript"/>
        </w:rPr>
        <w:t>131</w:t>
      </w:r>
      <w:r w:rsidRPr="002646AD">
        <w:rPr>
          <w:rFonts w:ascii="Verdana" w:hAnsi="Verdana"/>
          <w:sz w:val="20"/>
        </w:rPr>
        <w:t xml:space="preserve">I, </w:t>
      </w:r>
      <w:r w:rsidRPr="002646AD">
        <w:rPr>
          <w:rFonts w:ascii="Verdana" w:hAnsi="Verdana"/>
          <w:sz w:val="20"/>
          <w:vertAlign w:val="superscript"/>
        </w:rPr>
        <w:t>125</w:t>
      </w:r>
      <w:r w:rsidRPr="002646AD">
        <w:rPr>
          <w:rFonts w:ascii="Verdana" w:hAnsi="Verdana"/>
          <w:sz w:val="20"/>
        </w:rPr>
        <w:t xml:space="preserve">I, </w:t>
      </w:r>
      <w:r w:rsidRPr="002646AD">
        <w:rPr>
          <w:rFonts w:ascii="Verdana" w:hAnsi="Verdana"/>
          <w:sz w:val="20"/>
          <w:vertAlign w:val="superscript"/>
        </w:rPr>
        <w:t>123</w:t>
      </w:r>
      <w:r w:rsidRPr="002646AD">
        <w:rPr>
          <w:rFonts w:ascii="Verdana" w:hAnsi="Verdana"/>
          <w:sz w:val="20"/>
        </w:rPr>
        <w:t xml:space="preserve">I, </w:t>
      </w:r>
      <w:r w:rsidRPr="002646AD">
        <w:rPr>
          <w:rFonts w:ascii="Verdana" w:hAnsi="Verdana"/>
          <w:sz w:val="20"/>
          <w:vertAlign w:val="superscript"/>
        </w:rPr>
        <w:t>99</w:t>
      </w:r>
      <w:r w:rsidRPr="002646AD">
        <w:rPr>
          <w:rFonts w:ascii="Verdana" w:hAnsi="Verdana"/>
          <w:sz w:val="20"/>
        </w:rPr>
        <w:t xml:space="preserve">Tc, </w:t>
      </w:r>
      <w:r w:rsidRPr="002646AD">
        <w:rPr>
          <w:rFonts w:ascii="Verdana" w:hAnsi="Verdana"/>
          <w:sz w:val="20"/>
          <w:vertAlign w:val="superscript"/>
        </w:rPr>
        <w:t>67</w:t>
      </w:r>
      <w:r w:rsidRPr="002646AD">
        <w:rPr>
          <w:rFonts w:ascii="Verdana" w:hAnsi="Verdana"/>
          <w:sz w:val="20"/>
        </w:rPr>
        <w:t xml:space="preserve">Ga, så vel som </w:t>
      </w:r>
      <w:r w:rsidRPr="002646AD">
        <w:rPr>
          <w:rFonts w:ascii="Verdana" w:hAnsi="Verdana"/>
          <w:sz w:val="20"/>
          <w:vertAlign w:val="superscript"/>
        </w:rPr>
        <w:t>111</w:t>
      </w:r>
      <w:r w:rsidRPr="002646AD">
        <w:rPr>
          <w:rFonts w:ascii="Verdana" w:hAnsi="Verdana"/>
          <w:sz w:val="20"/>
        </w:rPr>
        <w:t xml:space="preserve">In. Antistoff har også blitt merket med en mengde radionuklider for potensiell bruk i målrettet </w:t>
      </w:r>
      <w:proofErr w:type="spellStart"/>
      <w:r w:rsidRPr="002646AD">
        <w:rPr>
          <w:rFonts w:ascii="Verdana" w:hAnsi="Verdana"/>
          <w:sz w:val="20"/>
        </w:rPr>
        <w:t>immunoterapi</w:t>
      </w:r>
      <w:proofErr w:type="spellEnd"/>
      <w:r w:rsidRPr="002646AD">
        <w:rPr>
          <w:rFonts w:ascii="Verdana" w:hAnsi="Verdana"/>
          <w:sz w:val="20"/>
        </w:rPr>
        <w:t xml:space="preserve"> (</w:t>
      </w:r>
      <w:proofErr w:type="spellStart"/>
      <w:r w:rsidRPr="002646AD">
        <w:rPr>
          <w:rFonts w:ascii="Verdana" w:hAnsi="Verdana"/>
          <w:sz w:val="20"/>
        </w:rPr>
        <w:t>Peirersz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al. </w:t>
      </w:r>
      <w:r w:rsidRPr="002646AD">
        <w:rPr>
          <w:rFonts w:ascii="Verdana" w:hAnsi="Verdana"/>
          <w:sz w:val="20"/>
          <w:lang w:val="en-US"/>
        </w:rPr>
        <w:t xml:space="preserve">(1987) </w:t>
      </w:r>
      <w:proofErr w:type="gramStart"/>
      <w:r w:rsidRPr="002646AD">
        <w:rPr>
          <w:rFonts w:ascii="Verdana" w:hAnsi="Verdana"/>
          <w:sz w:val="20"/>
          <w:lang w:val="en-US"/>
        </w:rPr>
        <w:t>The</w:t>
      </w:r>
      <w:proofErr w:type="gramEnd"/>
      <w:r w:rsidRPr="002646AD">
        <w:rPr>
          <w:rFonts w:ascii="Verdana" w:hAnsi="Verdana"/>
          <w:sz w:val="20"/>
          <w:lang w:val="en-US"/>
        </w:rPr>
        <w:t xml:space="preserve"> use of monoclonal antibody conjugates for the diagnosis and treatment of cancer. </w:t>
      </w:r>
      <w:proofErr w:type="spellStart"/>
      <w:r w:rsidRPr="002646AD">
        <w:rPr>
          <w:rFonts w:ascii="Verdana" w:hAnsi="Verdana"/>
          <w:i/>
          <w:sz w:val="20"/>
        </w:rPr>
        <w:t>Immunol</w:t>
      </w:r>
      <w:proofErr w:type="spellEnd"/>
      <w:r w:rsidRPr="002646AD">
        <w:rPr>
          <w:rFonts w:ascii="Verdana" w:hAnsi="Verdana"/>
          <w:i/>
          <w:sz w:val="20"/>
        </w:rPr>
        <w:t>. Cell Biol.</w:t>
      </w:r>
      <w:r w:rsidRPr="002646AD">
        <w:rPr>
          <w:rFonts w:ascii="Verdana" w:hAnsi="Verdana"/>
          <w:sz w:val="20"/>
        </w:rPr>
        <w:t xml:space="preserve"> 65:111-125). Disse radionuklider innbe</w:t>
      </w:r>
      <w:r w:rsidRPr="002646AD">
        <w:rPr>
          <w:rFonts w:ascii="Verdana" w:hAnsi="Verdana"/>
          <w:sz w:val="20"/>
        </w:rPr>
        <w:softHyphen/>
        <w:t xml:space="preserve">fatter </w:t>
      </w:r>
      <w:r w:rsidRPr="002646AD">
        <w:rPr>
          <w:rFonts w:ascii="Verdana" w:hAnsi="Verdana"/>
          <w:sz w:val="20"/>
          <w:vertAlign w:val="superscript"/>
        </w:rPr>
        <w:t>188</w:t>
      </w:r>
      <w:r w:rsidRPr="002646AD">
        <w:rPr>
          <w:rFonts w:ascii="Verdana" w:hAnsi="Verdana"/>
          <w:sz w:val="20"/>
        </w:rPr>
        <w:t xml:space="preserve">Re og </w:t>
      </w:r>
      <w:r w:rsidRPr="002646AD">
        <w:rPr>
          <w:rFonts w:ascii="Verdana" w:hAnsi="Verdana"/>
          <w:sz w:val="20"/>
          <w:vertAlign w:val="superscript"/>
        </w:rPr>
        <w:t>186</w:t>
      </w:r>
      <w:r w:rsidRPr="002646AD">
        <w:rPr>
          <w:rFonts w:ascii="Verdana" w:hAnsi="Verdana"/>
          <w:sz w:val="20"/>
        </w:rPr>
        <w:t xml:space="preserve">Re så vel som </w:t>
      </w:r>
      <w:r w:rsidRPr="002646AD">
        <w:rPr>
          <w:rFonts w:ascii="Verdana" w:hAnsi="Verdana"/>
          <w:sz w:val="20"/>
          <w:vertAlign w:val="superscript"/>
        </w:rPr>
        <w:t>90</w:t>
      </w:r>
      <w:r w:rsidRPr="002646AD">
        <w:rPr>
          <w:rFonts w:ascii="Verdana" w:hAnsi="Verdana"/>
          <w:sz w:val="20"/>
        </w:rPr>
        <w:t xml:space="preserve">Y, og i mindre grad </w:t>
      </w:r>
      <w:r w:rsidRPr="002646AD">
        <w:rPr>
          <w:rFonts w:ascii="Verdana" w:hAnsi="Verdana"/>
          <w:sz w:val="20"/>
          <w:vertAlign w:val="superscript"/>
        </w:rPr>
        <w:t>199</w:t>
      </w:r>
      <w:r w:rsidRPr="002646AD">
        <w:rPr>
          <w:rFonts w:ascii="Verdana" w:hAnsi="Verdana"/>
          <w:sz w:val="20"/>
        </w:rPr>
        <w:t xml:space="preserve">Au og </w:t>
      </w:r>
      <w:r w:rsidRPr="002646AD">
        <w:rPr>
          <w:rFonts w:ascii="Verdana" w:hAnsi="Verdana"/>
          <w:sz w:val="20"/>
          <w:vertAlign w:val="superscript"/>
        </w:rPr>
        <w:t>67</w:t>
      </w:r>
      <w:r w:rsidRPr="002646AD">
        <w:rPr>
          <w:rFonts w:ascii="Verdana" w:hAnsi="Verdana"/>
          <w:sz w:val="20"/>
        </w:rPr>
        <w:t xml:space="preserve">Cu. I-(131) har også blitt brukt for terapeutiske formål. US patent nr. </w:t>
      </w:r>
      <w:proofErr w:type="gramStart"/>
      <w:r w:rsidRPr="002646AD">
        <w:rPr>
          <w:rFonts w:ascii="Verdana" w:hAnsi="Verdana"/>
          <w:sz w:val="20"/>
        </w:rPr>
        <w:t>5,460,785</w:t>
      </w:r>
      <w:proofErr w:type="gramEnd"/>
      <w:r w:rsidRPr="002646AD">
        <w:rPr>
          <w:rFonts w:ascii="Verdana" w:hAnsi="Verdana"/>
          <w:sz w:val="20"/>
        </w:rPr>
        <w:t xml:space="preserve"> gir en opplisting av slike </w:t>
      </w:r>
      <w:proofErr w:type="spellStart"/>
      <w:r w:rsidRPr="002646AD">
        <w:rPr>
          <w:rFonts w:ascii="Verdana" w:hAnsi="Verdana"/>
          <w:sz w:val="20"/>
        </w:rPr>
        <w:t>radio</w:t>
      </w:r>
      <w:r w:rsidRPr="002646AD">
        <w:rPr>
          <w:rFonts w:ascii="Verdana" w:hAnsi="Verdana"/>
          <w:sz w:val="20"/>
        </w:rPr>
        <w:softHyphen/>
        <w:t>isotoper</w:t>
      </w:r>
      <w:proofErr w:type="spellEnd"/>
      <w:r w:rsidRPr="002646AD">
        <w:rPr>
          <w:rFonts w:ascii="Verdana" w:hAnsi="Verdana"/>
          <w:sz w:val="20"/>
        </w:rPr>
        <w:t xml:space="preserve"> og er heri innbefattet per referanse.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Som angitt i US patent nr. </w:t>
      </w:r>
      <w:proofErr w:type="gramStart"/>
      <w:r w:rsidRPr="002646AD">
        <w:rPr>
          <w:rFonts w:ascii="Verdana" w:hAnsi="Verdana"/>
          <w:sz w:val="20"/>
        </w:rPr>
        <w:t>5,736,137</w:t>
      </w:r>
      <w:proofErr w:type="gramEnd"/>
      <w:r w:rsidRPr="002646AD">
        <w:rPr>
          <w:rFonts w:ascii="Verdana" w:hAnsi="Verdana"/>
          <w:sz w:val="20"/>
        </w:rPr>
        <w:t xml:space="preserve"> resulterte admini</w:t>
      </w:r>
      <w:r w:rsidRPr="002646AD">
        <w:rPr>
          <w:rFonts w:ascii="Verdana" w:hAnsi="Verdana"/>
          <w:sz w:val="20"/>
        </w:rPr>
        <w:softHyphen/>
        <w:t xml:space="preserve">strasjon av det radiomerkede Y2B8-konjugat, så vel som det umerkede </w:t>
      </w:r>
      <w:proofErr w:type="spellStart"/>
      <w:r w:rsidRPr="002646AD">
        <w:rPr>
          <w:rFonts w:ascii="Verdana" w:hAnsi="Verdana"/>
          <w:sz w:val="20"/>
        </w:rPr>
        <w:t>kimeriske</w:t>
      </w:r>
      <w:proofErr w:type="spellEnd"/>
      <w:r w:rsidRPr="002646AD">
        <w:rPr>
          <w:rFonts w:ascii="Verdana" w:hAnsi="Verdana"/>
          <w:sz w:val="20"/>
        </w:rPr>
        <w:t xml:space="preserve"> anti-CD20-antistoff i signifikant svulstreduksjon i mus som har en B-celle-</w:t>
      </w:r>
      <w:proofErr w:type="spellStart"/>
      <w:r w:rsidRPr="002646AD">
        <w:rPr>
          <w:rFonts w:ascii="Verdana" w:hAnsi="Verdana"/>
          <w:sz w:val="20"/>
        </w:rPr>
        <w:t>lymfoblastisk</w:t>
      </w:r>
      <w:proofErr w:type="spellEnd"/>
      <w:r w:rsidRPr="002646AD">
        <w:rPr>
          <w:rFonts w:ascii="Verdana" w:hAnsi="Verdana"/>
          <w:sz w:val="20"/>
        </w:rPr>
        <w:t xml:space="preserve"> svulst. Videre viste humane kliniske forsøk rapportert deri signifikant B-celleutarming i </w:t>
      </w:r>
      <w:proofErr w:type="spellStart"/>
      <w:r w:rsidRPr="002646AD">
        <w:rPr>
          <w:rFonts w:ascii="Verdana" w:hAnsi="Verdana"/>
          <w:sz w:val="20"/>
        </w:rPr>
        <w:t>lymfompaisenter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infusert</w:t>
      </w:r>
      <w:proofErr w:type="spellEnd"/>
      <w:r w:rsidRPr="002646AD">
        <w:rPr>
          <w:rFonts w:ascii="Verdana" w:hAnsi="Verdana"/>
          <w:sz w:val="20"/>
        </w:rPr>
        <w:t xml:space="preserve"> med </w:t>
      </w:r>
      <w:proofErr w:type="spellStart"/>
      <w:r w:rsidRPr="002646AD">
        <w:rPr>
          <w:rFonts w:ascii="Verdana" w:hAnsi="Verdana"/>
          <w:sz w:val="20"/>
        </w:rPr>
        <w:t>kimerisk</w:t>
      </w:r>
      <w:proofErr w:type="spellEnd"/>
      <w:r w:rsidRPr="002646AD">
        <w:rPr>
          <w:rFonts w:ascii="Verdana" w:hAnsi="Verdana"/>
          <w:sz w:val="20"/>
        </w:rPr>
        <w:t xml:space="preserve"> anti-CD20-antistoff. Faktisk har </w:t>
      </w:r>
      <w:proofErr w:type="spellStart"/>
      <w:r w:rsidRPr="002646AD">
        <w:rPr>
          <w:rFonts w:ascii="Verdana" w:hAnsi="Verdana"/>
          <w:sz w:val="20"/>
        </w:rPr>
        <w:t>kimerisk</w:t>
      </w:r>
      <w:proofErr w:type="spellEnd"/>
      <w:r w:rsidRPr="002646AD">
        <w:rPr>
          <w:rFonts w:ascii="Verdana" w:hAnsi="Verdana"/>
          <w:sz w:val="20"/>
        </w:rPr>
        <w:t xml:space="preserve"> </w:t>
      </w:r>
      <w:r w:rsidRPr="002646AD">
        <w:rPr>
          <w:rFonts w:ascii="Verdana" w:hAnsi="Verdana"/>
          <w:sz w:val="20"/>
        </w:rPr>
        <w:lastRenderedPageBreak/>
        <w:t>2B8 nylig blitt angitt som nasjonens første FDA-godkjente anti-</w:t>
      </w:r>
      <w:proofErr w:type="spellStart"/>
      <w:r w:rsidRPr="002646AD">
        <w:rPr>
          <w:rFonts w:ascii="Verdana" w:hAnsi="Verdana"/>
          <w:sz w:val="20"/>
        </w:rPr>
        <w:t>krefte</w:t>
      </w:r>
      <w:proofErr w:type="spellEnd"/>
      <w:r w:rsidRPr="002646AD">
        <w:rPr>
          <w:rFonts w:ascii="Verdana" w:hAnsi="Verdana"/>
          <w:sz w:val="20"/>
        </w:rPr>
        <w:t xml:space="preserve"> monoklonale antistoff under navnet </w:t>
      </w:r>
      <w:proofErr w:type="spellStart"/>
      <w:r w:rsidRPr="002646AD">
        <w:rPr>
          <w:rFonts w:ascii="Verdana" w:hAnsi="Verdana"/>
          <w:sz w:val="20"/>
        </w:rPr>
        <w:t>Rituxan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, således har minst et </w:t>
      </w:r>
      <w:proofErr w:type="spellStart"/>
      <w:r w:rsidRPr="002646AD">
        <w:rPr>
          <w:rFonts w:ascii="Verdana" w:hAnsi="Verdana"/>
          <w:sz w:val="20"/>
        </w:rPr>
        <w:t>kimerisk</w:t>
      </w:r>
      <w:proofErr w:type="spellEnd"/>
      <w:r w:rsidRPr="002646AD">
        <w:rPr>
          <w:rFonts w:ascii="Verdana" w:hAnsi="Verdana"/>
          <w:sz w:val="20"/>
        </w:rPr>
        <w:t xml:space="preserve"> anti-CD20-antistoff blitt vist for å oppvise terapeutisk effektivitet ved behandlingen av B-celle-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>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 tillegg beskriver US patent nr. </w:t>
      </w:r>
      <w:proofErr w:type="gramStart"/>
      <w:r w:rsidRPr="002646AD">
        <w:rPr>
          <w:rFonts w:ascii="Verdana" w:hAnsi="Verdana"/>
          <w:sz w:val="20"/>
        </w:rPr>
        <w:t>5,736,137</w:t>
      </w:r>
      <w:proofErr w:type="gramEnd"/>
      <w:r w:rsidRPr="002646AD">
        <w:rPr>
          <w:rFonts w:ascii="Verdana" w:hAnsi="Verdana"/>
          <w:sz w:val="20"/>
        </w:rPr>
        <w:t>, sekvensiel</w:t>
      </w:r>
      <w:r w:rsidR="004A54D5">
        <w:rPr>
          <w:rFonts w:ascii="Verdana" w:hAnsi="Verdana"/>
          <w:sz w:val="20"/>
        </w:rPr>
        <w:t>l</w:t>
      </w:r>
      <w:r w:rsidRPr="002646AD">
        <w:rPr>
          <w:rFonts w:ascii="Verdana" w:hAnsi="Verdana"/>
          <w:sz w:val="20"/>
        </w:rPr>
        <w:t xml:space="preserve"> administrasjon av </w:t>
      </w:r>
      <w:proofErr w:type="spellStart"/>
      <w:r w:rsidRPr="002646AD">
        <w:rPr>
          <w:rFonts w:ascii="Verdana" w:hAnsi="Verdana"/>
          <w:sz w:val="20"/>
        </w:rPr>
        <w:t>Rituxan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, et </w:t>
      </w:r>
      <w:proofErr w:type="spellStart"/>
      <w:r w:rsidRPr="002646AD">
        <w:rPr>
          <w:rFonts w:ascii="Verdana" w:hAnsi="Verdana"/>
          <w:sz w:val="20"/>
        </w:rPr>
        <w:t>kimerisk</w:t>
      </w:r>
      <w:proofErr w:type="spellEnd"/>
      <w:r w:rsidRPr="002646AD">
        <w:rPr>
          <w:rFonts w:ascii="Verdana" w:hAnsi="Verdana"/>
          <w:sz w:val="20"/>
        </w:rPr>
        <w:t xml:space="preserve"> anti-CD20, med begge eller hvert indium-merket eller yttrium-merket </w:t>
      </w:r>
      <w:proofErr w:type="spellStart"/>
      <w:r w:rsidRPr="002646AD">
        <w:rPr>
          <w:rFonts w:ascii="Verdana" w:hAnsi="Verdana"/>
          <w:sz w:val="20"/>
        </w:rPr>
        <w:t>murint</w:t>
      </w:r>
      <w:proofErr w:type="spellEnd"/>
      <w:r w:rsidRPr="002646AD">
        <w:rPr>
          <w:rFonts w:ascii="Verdana" w:hAnsi="Verdana"/>
          <w:sz w:val="20"/>
        </w:rPr>
        <w:t xml:space="preserve"> monoklonalt antistoff. Selv om de radiomerkede antistoff benyttet i disse kombinerte be</w:t>
      </w:r>
      <w:r w:rsidRPr="002646AD">
        <w:rPr>
          <w:rFonts w:ascii="Verdana" w:hAnsi="Verdana"/>
          <w:sz w:val="20"/>
        </w:rPr>
        <w:softHyphen/>
        <w:t xml:space="preserve">handlinger er </w:t>
      </w:r>
      <w:proofErr w:type="spellStart"/>
      <w:r w:rsidRPr="002646AD">
        <w:rPr>
          <w:rFonts w:ascii="Verdana" w:hAnsi="Verdana"/>
          <w:sz w:val="20"/>
        </w:rPr>
        <w:t>murint</w:t>
      </w:r>
      <w:proofErr w:type="spellEnd"/>
      <w:r w:rsidRPr="002646AD">
        <w:rPr>
          <w:rFonts w:ascii="Verdana" w:hAnsi="Verdana"/>
          <w:sz w:val="20"/>
        </w:rPr>
        <w:t xml:space="preserve"> antistoff, fjerner initial behandling med </w:t>
      </w:r>
      <w:proofErr w:type="spellStart"/>
      <w:r w:rsidRPr="002646AD">
        <w:rPr>
          <w:rFonts w:ascii="Verdana" w:hAnsi="Verdana"/>
          <w:sz w:val="20"/>
        </w:rPr>
        <w:t>kimerisk</w:t>
      </w:r>
      <w:proofErr w:type="spellEnd"/>
      <w:r w:rsidRPr="002646AD">
        <w:rPr>
          <w:rFonts w:ascii="Verdana" w:hAnsi="Verdana"/>
          <w:sz w:val="20"/>
        </w:rPr>
        <w:t xml:space="preserve"> anti-CD20 tilstrekkelig B-cellepopulasjonen slik at HAMA-responser blir minsket, for derved å lette et kombinert terapeutisk og diagnostisk regime.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Således i denne sammenheng med kombinert </w:t>
      </w:r>
      <w:proofErr w:type="spellStart"/>
      <w:r w:rsidRPr="002646AD">
        <w:rPr>
          <w:rFonts w:ascii="Verdana" w:hAnsi="Verdana"/>
          <w:sz w:val="20"/>
        </w:rPr>
        <w:t>immunoterapi</w:t>
      </w:r>
      <w:proofErr w:type="spellEnd"/>
      <w:r w:rsidRPr="002646AD">
        <w:rPr>
          <w:rFonts w:ascii="Verdana" w:hAnsi="Verdana"/>
          <w:sz w:val="20"/>
        </w:rPr>
        <w:t xml:space="preserve"> kan</w:t>
      </w:r>
      <w:r w:rsidR="004A54D5">
        <w:rPr>
          <w:rFonts w:ascii="Verdana" w:hAnsi="Verdana"/>
          <w:sz w:val="20"/>
        </w:rPr>
        <w:t xml:space="preserve"> </w:t>
      </w:r>
      <w:proofErr w:type="spellStart"/>
      <w:r w:rsidR="004A54D5">
        <w:rPr>
          <w:rFonts w:ascii="Verdana" w:hAnsi="Verdana"/>
          <w:sz w:val="20"/>
        </w:rPr>
        <w:t>murine</w:t>
      </w:r>
      <w:proofErr w:type="spellEnd"/>
      <w:r w:rsidR="004A54D5">
        <w:rPr>
          <w:rFonts w:ascii="Verdana" w:hAnsi="Verdana"/>
          <w:sz w:val="20"/>
        </w:rPr>
        <w:t xml:space="preserve"> antistoff finne spesiell</w:t>
      </w:r>
      <w:r w:rsidRPr="002646AD">
        <w:rPr>
          <w:rFonts w:ascii="Verdana" w:hAnsi="Verdana"/>
          <w:sz w:val="20"/>
        </w:rPr>
        <w:t xml:space="preserve"> anvendelse som diagnostiske </w:t>
      </w:r>
      <w:proofErr w:type="spellStart"/>
      <w:r w:rsidRPr="002646AD">
        <w:rPr>
          <w:rFonts w:ascii="Verdana" w:hAnsi="Verdana"/>
          <w:sz w:val="20"/>
        </w:rPr>
        <w:t>regeanser</w:t>
      </w:r>
      <w:proofErr w:type="spellEnd"/>
      <w:r w:rsidRPr="002646AD">
        <w:rPr>
          <w:rFonts w:ascii="Verdana" w:hAnsi="Verdana"/>
          <w:sz w:val="20"/>
        </w:rPr>
        <w:t xml:space="preserve">. Videre ble det vist i US patent nr. </w:t>
      </w:r>
      <w:proofErr w:type="gramStart"/>
      <w:r w:rsidRPr="002646AD">
        <w:rPr>
          <w:rFonts w:ascii="Verdana" w:hAnsi="Verdana"/>
          <w:sz w:val="20"/>
        </w:rPr>
        <w:t>5,736,137</w:t>
      </w:r>
      <w:proofErr w:type="gramEnd"/>
      <w:r w:rsidRPr="002646AD">
        <w:rPr>
          <w:rFonts w:ascii="Verdana" w:hAnsi="Verdana"/>
          <w:sz w:val="20"/>
        </w:rPr>
        <w:t xml:space="preserve"> at en terapeutisk effektiv dose av det yttrium-merkede anti-CD20-antistoff etter administrasjon av </w:t>
      </w:r>
      <w:proofErr w:type="spellStart"/>
      <w:r w:rsidRPr="002646AD">
        <w:rPr>
          <w:rFonts w:ascii="Verdana" w:hAnsi="Verdana"/>
          <w:sz w:val="20"/>
        </w:rPr>
        <w:t>Rituxan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er til</w:t>
      </w:r>
      <w:r w:rsidRPr="002646AD">
        <w:rPr>
          <w:rFonts w:ascii="Verdana" w:hAnsi="Verdana"/>
          <w:sz w:val="20"/>
        </w:rPr>
        <w:softHyphen/>
        <w:t xml:space="preserve">strekkelig til (a) å fjerne alle gjenværende </w:t>
      </w:r>
      <w:proofErr w:type="spellStart"/>
      <w:r w:rsidRPr="002646AD">
        <w:rPr>
          <w:rFonts w:ascii="Verdana" w:hAnsi="Verdana"/>
          <w:sz w:val="20"/>
        </w:rPr>
        <w:t>periferale</w:t>
      </w:r>
      <w:proofErr w:type="spellEnd"/>
      <w:r w:rsidRPr="002646AD">
        <w:rPr>
          <w:rFonts w:ascii="Verdana" w:hAnsi="Verdana"/>
          <w:sz w:val="20"/>
        </w:rPr>
        <w:t xml:space="preserve"> B-blodceller som ikke er fjernet av det </w:t>
      </w:r>
      <w:proofErr w:type="spellStart"/>
      <w:r w:rsidRPr="002646AD">
        <w:rPr>
          <w:rFonts w:ascii="Verdana" w:hAnsi="Verdana"/>
          <w:sz w:val="20"/>
        </w:rPr>
        <w:t>kimeriske</w:t>
      </w:r>
      <w:proofErr w:type="spellEnd"/>
      <w:r w:rsidRPr="002646AD">
        <w:rPr>
          <w:rFonts w:ascii="Verdana" w:hAnsi="Verdana"/>
          <w:sz w:val="20"/>
        </w:rPr>
        <w:t xml:space="preserve"> anti-CD20-antistoff; (b) godartet B-cellefjerning fra lymfeknuter; eller (c) godartet B-cellefjerning fra andre vev.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Således gir konjugering av radiomarkører til kreft tera</w:t>
      </w:r>
      <w:r w:rsidRPr="002646AD">
        <w:rPr>
          <w:rFonts w:ascii="Verdana" w:hAnsi="Verdana"/>
          <w:sz w:val="20"/>
        </w:rPr>
        <w:softHyphen/>
        <w:t xml:space="preserve">peutiske antistoff et </w:t>
      </w:r>
      <w:proofErr w:type="spellStart"/>
      <w:r w:rsidRPr="002646AD">
        <w:rPr>
          <w:rFonts w:ascii="Verdana" w:hAnsi="Verdana"/>
          <w:sz w:val="20"/>
        </w:rPr>
        <w:t>verdifult</w:t>
      </w:r>
      <w:proofErr w:type="spellEnd"/>
      <w:r w:rsidRPr="002646AD">
        <w:rPr>
          <w:rFonts w:ascii="Verdana" w:hAnsi="Verdana"/>
          <w:sz w:val="20"/>
        </w:rPr>
        <w:t xml:space="preserve"> klinisk verktøy som kan bli brukt til å undersøke den potensielle terapeutiske effekti</w:t>
      </w:r>
      <w:r w:rsidRPr="002646AD">
        <w:rPr>
          <w:rFonts w:ascii="Verdana" w:hAnsi="Verdana"/>
          <w:sz w:val="20"/>
        </w:rPr>
        <w:softHyphen/>
        <w:t>vitet av slike antistoff, danne diagnostiske reagenser for å overvåke behandlingsprogresjonen, og utarbeide ytter</w:t>
      </w:r>
      <w:r w:rsidRPr="002646AD">
        <w:rPr>
          <w:rFonts w:ascii="Verdana" w:hAnsi="Verdana"/>
          <w:sz w:val="20"/>
        </w:rPr>
        <w:softHyphen/>
        <w:t xml:space="preserve">ligere terapeutiske reagenser som kan bli brukt for å øke det initiale svulst-drepende potensiale av det </w:t>
      </w:r>
      <w:proofErr w:type="spellStart"/>
      <w:r w:rsidRPr="002646AD">
        <w:rPr>
          <w:rFonts w:ascii="Verdana" w:hAnsi="Verdana"/>
          <w:sz w:val="20"/>
        </w:rPr>
        <w:t>kimeriske</w:t>
      </w:r>
      <w:proofErr w:type="spellEnd"/>
      <w:r w:rsidRPr="002646AD">
        <w:rPr>
          <w:rFonts w:ascii="Verdana" w:hAnsi="Verdana"/>
          <w:sz w:val="20"/>
        </w:rPr>
        <w:t xml:space="preserve"> antistoff. Gitt den viste effektivitet av et anti-CD20-antistoff ved behandlingen av non-</w:t>
      </w:r>
      <w:proofErr w:type="spellStart"/>
      <w:r w:rsidRPr="002646AD">
        <w:rPr>
          <w:rFonts w:ascii="Verdana" w:hAnsi="Verdana"/>
          <w:sz w:val="20"/>
        </w:rPr>
        <w:t>Hodgkins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, og den kjente følsomhet hos lymfocytter mot radioaktivitet vil det være meget fordelaktig for slike </w:t>
      </w:r>
      <w:proofErr w:type="spellStart"/>
      <w:r w:rsidRPr="002646AD">
        <w:rPr>
          <w:rFonts w:ascii="Verdana" w:hAnsi="Verdana"/>
          <w:sz w:val="20"/>
        </w:rPr>
        <w:t>kimeriske</w:t>
      </w:r>
      <w:proofErr w:type="spellEnd"/>
      <w:r w:rsidRPr="002646AD">
        <w:rPr>
          <w:rFonts w:ascii="Verdana" w:hAnsi="Verdana"/>
          <w:sz w:val="20"/>
        </w:rPr>
        <w:t xml:space="preserve"> og radiomerkede terapeutiske antistoff å finne bruk i kombinerte terapeu</w:t>
      </w:r>
      <w:r w:rsidRPr="002646AD">
        <w:rPr>
          <w:rFonts w:ascii="Verdana" w:hAnsi="Verdana"/>
          <w:sz w:val="20"/>
        </w:rPr>
        <w:softHyphen/>
        <w:t xml:space="preserve">tiske behandlinger som minsker frekvensen av </w:t>
      </w:r>
      <w:proofErr w:type="spellStart"/>
      <w:r w:rsidRPr="002646AD">
        <w:rPr>
          <w:rFonts w:ascii="Verdana" w:hAnsi="Verdana"/>
          <w:sz w:val="20"/>
        </w:rPr>
        <w:t>tilbakefalt</w:t>
      </w:r>
      <w:proofErr w:type="spellEnd"/>
      <w:r w:rsidRPr="002646AD">
        <w:rPr>
          <w:rFonts w:ascii="Verdana" w:hAnsi="Verdana"/>
          <w:sz w:val="20"/>
        </w:rPr>
        <w:t xml:space="preserve"> eller </w:t>
      </w:r>
      <w:proofErr w:type="spellStart"/>
      <w:r w:rsidRPr="002646AD">
        <w:rPr>
          <w:rFonts w:ascii="Verdana" w:hAnsi="Verdana"/>
          <w:sz w:val="20"/>
        </w:rPr>
        <w:t>refraktorisk</w:t>
      </w:r>
      <w:proofErr w:type="spellEnd"/>
      <w:r w:rsidRPr="002646AD">
        <w:rPr>
          <w:rFonts w:ascii="Verdana" w:hAnsi="Verdana"/>
          <w:sz w:val="20"/>
        </w:rPr>
        <w:t xml:space="preserve"> non-</w:t>
      </w:r>
      <w:proofErr w:type="spellStart"/>
      <w:r w:rsidRPr="002646AD">
        <w:rPr>
          <w:rFonts w:ascii="Verdana" w:hAnsi="Verdana"/>
          <w:sz w:val="20"/>
        </w:rPr>
        <w:t>Hodgkins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>. I tillegg vil det være gunstig dersom slike kombinerte terapeutiske regimer finner bruk i behandlingen av andre B-celle-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>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Lavgrads eller follikulær NHL</w:t>
      </w:r>
    </w:p>
    <w:p w:rsidR="001003C4" w:rsidRPr="002646AD" w:rsidRDefault="001003C4">
      <w:pPr>
        <w:pStyle w:val="Overskrift1"/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Enkeltmiddel</w:t>
      </w:r>
      <w:r w:rsidR="001A5E22">
        <w:rPr>
          <w:rFonts w:ascii="Verdana" w:hAnsi="Verdana"/>
          <w:sz w:val="20"/>
        </w:rPr>
        <w:t>-</w:t>
      </w:r>
      <w:r w:rsidRPr="002646AD">
        <w:rPr>
          <w:rFonts w:ascii="Verdana" w:hAnsi="Verdana"/>
          <w:sz w:val="20"/>
        </w:rPr>
        <w:t xml:space="preserve">studier med </w:t>
      </w:r>
      <w:proofErr w:type="spellStart"/>
      <w:r w:rsidRPr="002646AD">
        <w:rPr>
          <w:rFonts w:ascii="Verdana" w:hAnsi="Verdana"/>
          <w:sz w:val="20"/>
        </w:rPr>
        <w:t>tilbakefalt</w:t>
      </w:r>
      <w:proofErr w:type="spellEnd"/>
      <w:r w:rsidRPr="002646AD">
        <w:rPr>
          <w:rFonts w:ascii="Verdana" w:hAnsi="Verdana"/>
          <w:sz w:val="20"/>
        </w:rPr>
        <w:t xml:space="preserve"> eller </w:t>
      </w:r>
      <w:proofErr w:type="spellStart"/>
      <w:r w:rsidRPr="002646AD">
        <w:rPr>
          <w:rFonts w:ascii="Verdana" w:hAnsi="Verdana"/>
          <w:sz w:val="20"/>
        </w:rPr>
        <w:t>refraktorisk</w:t>
      </w:r>
      <w:proofErr w:type="spellEnd"/>
      <w:r w:rsidRPr="002646AD">
        <w:rPr>
          <w:rFonts w:ascii="Verdana" w:hAnsi="Verdana"/>
          <w:sz w:val="20"/>
        </w:rPr>
        <w:t xml:space="preserve"> NHL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FDA-godkjenning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var basert på fem enkeltmiddel</w:t>
      </w:r>
      <w:r w:rsidR="001A5E22">
        <w:rPr>
          <w:rFonts w:ascii="Verdana" w:hAnsi="Verdana"/>
          <w:sz w:val="20"/>
        </w:rPr>
        <w:t>-</w:t>
      </w:r>
      <w:r w:rsidRPr="002646AD">
        <w:rPr>
          <w:rFonts w:ascii="Verdana" w:hAnsi="Verdana"/>
          <w:sz w:val="20"/>
        </w:rPr>
        <w:t>studier primært i pasienter med lavgrads eller fol</w:t>
      </w:r>
      <w:r w:rsidRPr="002646AD">
        <w:rPr>
          <w:rFonts w:ascii="Verdana" w:hAnsi="Verdana"/>
          <w:sz w:val="20"/>
        </w:rPr>
        <w:softHyphen/>
        <w:t xml:space="preserve">likulær NHL. Et tidlig fase I studium av enkle </w:t>
      </w:r>
      <w:proofErr w:type="spellStart"/>
      <w:r w:rsidRPr="002646AD">
        <w:rPr>
          <w:rFonts w:ascii="Verdana" w:hAnsi="Verdana"/>
          <w:sz w:val="20"/>
        </w:rPr>
        <w:lastRenderedPageBreak/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>-infusjoner i område</w:t>
      </w:r>
      <w:r w:rsidR="001A5E22">
        <w:rPr>
          <w:rFonts w:ascii="Verdana" w:hAnsi="Verdana"/>
          <w:sz w:val="20"/>
        </w:rPr>
        <w:t>t</w:t>
      </w:r>
      <w:r w:rsidRPr="002646AD">
        <w:rPr>
          <w:rFonts w:ascii="Verdana" w:hAnsi="Verdana"/>
          <w:sz w:val="20"/>
        </w:rPr>
        <w:t xml:space="preserve"> fra 10-500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viste at den </w:t>
      </w:r>
      <w:proofErr w:type="spellStart"/>
      <w:r w:rsidRPr="002646AD">
        <w:rPr>
          <w:rFonts w:ascii="Verdana" w:hAnsi="Verdana"/>
          <w:sz w:val="20"/>
        </w:rPr>
        <w:t>makismale</w:t>
      </w:r>
      <w:proofErr w:type="spellEnd"/>
      <w:r w:rsidRPr="002646AD">
        <w:rPr>
          <w:rFonts w:ascii="Verdana" w:hAnsi="Verdana"/>
          <w:sz w:val="20"/>
        </w:rPr>
        <w:t xml:space="preserve"> tolererte dose ikke hadde blitt nådd; men lengden av infus</w:t>
      </w:r>
      <w:r w:rsidRPr="002646AD">
        <w:rPr>
          <w:rFonts w:ascii="Verdana" w:hAnsi="Verdana"/>
          <w:sz w:val="20"/>
        </w:rPr>
        <w:softHyphen/>
        <w:t xml:space="preserve">jonstid ved høyeste dosen var ikke regnet som mulig for utenfor-pasienten terapi. ORR i 15 pasienter var </w:t>
      </w:r>
      <w:proofErr w:type="gramStart"/>
      <w:r w:rsidRPr="002646AD">
        <w:rPr>
          <w:rFonts w:ascii="Verdana" w:hAnsi="Verdana"/>
          <w:sz w:val="20"/>
        </w:rPr>
        <w:t>13%</w:t>
      </w:r>
      <w:proofErr w:type="gramEnd"/>
      <w:r w:rsidRPr="002646AD">
        <w:rPr>
          <w:rFonts w:ascii="Verdana" w:hAnsi="Verdana"/>
          <w:sz w:val="20"/>
        </w:rPr>
        <w:t xml:space="preserve"> (Tabell 1) (6).</w:t>
      </w:r>
    </w:p>
    <w:p w:rsidR="001003C4" w:rsidRPr="002646AD" w:rsidRDefault="001003C4">
      <w:pPr>
        <w:rPr>
          <w:rFonts w:ascii="Verdana" w:hAnsi="Verdana"/>
          <w:sz w:val="20"/>
        </w:rPr>
        <w:sectPr w:rsidR="001003C4" w:rsidRPr="002646AD">
          <w:headerReference w:type="even" r:id="rId7"/>
          <w:headerReference w:type="default" r:id="rId8"/>
          <w:type w:val="oddPage"/>
          <w:pgSz w:w="11907" w:h="16840" w:code="9"/>
          <w:pgMar w:top="1701" w:right="1418" w:bottom="1418" w:left="1985" w:header="708" w:footer="708" w:gutter="0"/>
          <w:lnNumType w:countBy="5"/>
          <w:cols w:space="708"/>
        </w:sectPr>
      </w:pPr>
    </w:p>
    <w:p w:rsidR="001003C4" w:rsidRPr="002646AD" w:rsidRDefault="001003C4">
      <w:pPr>
        <w:jc w:val="center"/>
        <w:rPr>
          <w:rFonts w:ascii="Verdana" w:hAnsi="Verdana"/>
          <w:b/>
          <w:sz w:val="20"/>
        </w:rPr>
      </w:pPr>
      <w:r w:rsidRPr="002646AD">
        <w:rPr>
          <w:rFonts w:ascii="Verdana" w:hAnsi="Verdana"/>
          <w:b/>
          <w:sz w:val="20"/>
        </w:rPr>
        <w:lastRenderedPageBreak/>
        <w:t>Tabell 1</w:t>
      </w:r>
      <w:r w:rsidRPr="002646AD">
        <w:rPr>
          <w:rFonts w:ascii="Verdana" w:hAnsi="Verdana"/>
          <w:b/>
          <w:sz w:val="20"/>
        </w:rPr>
        <w:br/>
      </w:r>
      <w:proofErr w:type="spellStart"/>
      <w:r w:rsidRPr="002646AD">
        <w:rPr>
          <w:rFonts w:ascii="Verdana" w:hAnsi="Verdana"/>
          <w:b/>
          <w:sz w:val="20"/>
        </w:rPr>
        <w:t>Rituximab</w:t>
      </w:r>
      <w:proofErr w:type="spellEnd"/>
      <w:r w:rsidRPr="002646AD">
        <w:rPr>
          <w:rFonts w:ascii="Verdana" w:hAnsi="Verdana"/>
          <w:b/>
          <w:sz w:val="20"/>
          <w:vertAlign w:val="superscript"/>
        </w:rPr>
        <w:sym w:font="Symbol" w:char="F0E2"/>
      </w:r>
      <w:r w:rsidRPr="002646AD">
        <w:rPr>
          <w:rFonts w:ascii="Verdana" w:hAnsi="Verdana"/>
          <w:b/>
          <w:sz w:val="20"/>
        </w:rPr>
        <w:t>: Oppsummering av effektivitetsresultater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  <w:gridCol w:w="709"/>
        <w:gridCol w:w="1134"/>
        <w:gridCol w:w="992"/>
        <w:gridCol w:w="992"/>
        <w:gridCol w:w="1134"/>
        <w:gridCol w:w="1134"/>
        <w:gridCol w:w="1316"/>
      </w:tblGrid>
      <w:tr w:rsidR="001003C4" w:rsidRPr="00546852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46852">
              <w:rPr>
                <w:rFonts w:ascii="Verdana" w:hAnsi="Verdana"/>
                <w:b/>
                <w:sz w:val="16"/>
                <w:szCs w:val="16"/>
              </w:rPr>
              <w:t>Studiumbeskrivelse</w:t>
            </w:r>
            <w:proofErr w:type="spellEnd"/>
          </w:p>
        </w:tc>
        <w:tc>
          <w:tcPr>
            <w:tcW w:w="425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Indikasjon</w:t>
            </w:r>
          </w:p>
        </w:tc>
        <w:tc>
          <w:tcPr>
            <w:tcW w:w="709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N*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ORR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CR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PR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Gjennom-</w:t>
            </w:r>
            <w:proofErr w:type="spellStart"/>
            <w:r w:rsidRPr="00546852">
              <w:rPr>
                <w:rFonts w:ascii="Verdana" w:hAnsi="Verdana"/>
                <w:b/>
                <w:sz w:val="16"/>
                <w:szCs w:val="16"/>
              </w:rPr>
              <w:t>snittlig</w:t>
            </w:r>
            <w:proofErr w:type="spellEnd"/>
          </w:p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DR</w:t>
            </w:r>
          </w:p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(måneder)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Gjennom-</w:t>
            </w:r>
            <w:proofErr w:type="spellStart"/>
            <w:r w:rsidRPr="00546852">
              <w:rPr>
                <w:rFonts w:ascii="Verdana" w:hAnsi="Verdana"/>
                <w:b/>
                <w:sz w:val="16"/>
                <w:szCs w:val="16"/>
              </w:rPr>
              <w:t>snittlig</w:t>
            </w:r>
            <w:proofErr w:type="spellEnd"/>
          </w:p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TIP</w:t>
            </w:r>
          </w:p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(måneder)</w:t>
            </w:r>
          </w:p>
        </w:tc>
        <w:tc>
          <w:tcPr>
            <w:tcW w:w="1316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46852">
              <w:rPr>
                <w:rFonts w:ascii="Verdana" w:hAnsi="Verdana"/>
                <w:b/>
                <w:sz w:val="16"/>
                <w:szCs w:val="16"/>
              </w:rPr>
              <w:t>Referanser</w:t>
            </w:r>
          </w:p>
        </w:tc>
      </w:tr>
      <w:tr w:rsidR="001003C4" w:rsidRPr="00546852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Fase I/II, enkelt-dose enkelt middel</w:t>
            </w:r>
          </w:p>
        </w:tc>
        <w:tc>
          <w:tcPr>
            <w:tcW w:w="425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B-celle-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lymfom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 xml:space="preserve"> tilbakefall</w:t>
            </w:r>
          </w:p>
        </w:tc>
        <w:tc>
          <w:tcPr>
            <w:tcW w:w="709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2(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13%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0(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0%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2(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13%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NA†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8,1</w:t>
            </w:r>
          </w:p>
        </w:tc>
        <w:tc>
          <w:tcPr>
            <w:tcW w:w="1316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1003C4" w:rsidRPr="00546852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 xml:space="preserve">Fase I/II, 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mutippel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>-dose doseområde</w:t>
            </w:r>
          </w:p>
        </w:tc>
        <w:tc>
          <w:tcPr>
            <w:tcW w:w="425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 xml:space="preserve">Lav-, 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intermediat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 xml:space="preserve">-, og høygrads 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lymfom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 xml:space="preserve"> tilbakefall</w:t>
            </w:r>
          </w:p>
        </w:tc>
        <w:tc>
          <w:tcPr>
            <w:tcW w:w="709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17(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50%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3(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9%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14(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41%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8,6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10,2</w:t>
            </w:r>
          </w:p>
        </w:tc>
        <w:tc>
          <w:tcPr>
            <w:tcW w:w="1316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1003C4" w:rsidRPr="00546852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Fase II; multippel-dose kombinert med CHOP</w:t>
            </w:r>
          </w:p>
        </w:tc>
        <w:tc>
          <w:tcPr>
            <w:tcW w:w="425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Lavgrads eller follikulært B-celle-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lymfom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 xml:space="preserve"> nylig 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diagnosisert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 xml:space="preserve"> og tilbakefall</w:t>
            </w:r>
          </w:p>
        </w:tc>
        <w:tc>
          <w:tcPr>
            <w:tcW w:w="709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38(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100%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22(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58%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16(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42%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35,3+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36,7+</w:t>
            </w:r>
          </w:p>
        </w:tc>
        <w:tc>
          <w:tcPr>
            <w:tcW w:w="1316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21,22</w:t>
            </w:r>
          </w:p>
        </w:tc>
      </w:tr>
      <w:tr w:rsidR="001003C4" w:rsidRPr="00546852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Fase III, multippel-dose enkelt middel</w:t>
            </w:r>
          </w:p>
        </w:tc>
        <w:tc>
          <w:tcPr>
            <w:tcW w:w="425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Lavgrads eller follikulært B-celle-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lymfom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 xml:space="preserve"> tilbakefall</w:t>
            </w:r>
          </w:p>
        </w:tc>
        <w:tc>
          <w:tcPr>
            <w:tcW w:w="709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76(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50%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9(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6%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67(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44%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11,6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13,2</w:t>
            </w:r>
          </w:p>
        </w:tc>
        <w:tc>
          <w:tcPr>
            <w:tcW w:w="1316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8,9</w:t>
            </w:r>
          </w:p>
        </w:tc>
      </w:tr>
      <w:tr w:rsidR="001003C4" w:rsidRPr="00546852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Fase II, multippel dose enkelt middel</w:t>
            </w:r>
          </w:p>
        </w:tc>
        <w:tc>
          <w:tcPr>
            <w:tcW w:w="425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Lavgrads eller follikulært B-celle-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lymfom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 xml:space="preserve"> tilbakefall</w:t>
            </w:r>
          </w:p>
        </w:tc>
        <w:tc>
          <w:tcPr>
            <w:tcW w:w="709" w:type="dxa"/>
          </w:tcPr>
          <w:p w:rsidR="001003C4" w:rsidRPr="00546852" w:rsidRDefault="001003C4">
            <w:pPr>
              <w:pStyle w:val="Topptekst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21(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60%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5(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14%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16(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46%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13,4+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19,4+</w:t>
            </w:r>
          </w:p>
        </w:tc>
        <w:tc>
          <w:tcPr>
            <w:tcW w:w="1316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1003C4" w:rsidRPr="00546852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Fase II, multippel dose, kombinert med interferon</w:t>
            </w:r>
          </w:p>
        </w:tc>
        <w:tc>
          <w:tcPr>
            <w:tcW w:w="425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Lavgrads eller follikulært B-celle-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lymfom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 xml:space="preserve"> tilbakefall </w:t>
            </w:r>
          </w:p>
        </w:tc>
        <w:tc>
          <w:tcPr>
            <w:tcW w:w="709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17(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45%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4(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11%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13(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34%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22,3+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25,2+</w:t>
            </w:r>
          </w:p>
        </w:tc>
        <w:tc>
          <w:tcPr>
            <w:tcW w:w="1316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1003C4" w:rsidRPr="00546852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Fase II, multippel dose, enkelt middel</w:t>
            </w:r>
          </w:p>
        </w:tc>
        <w:tc>
          <w:tcPr>
            <w:tcW w:w="425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Lavgrads eller follikulært B-celle-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lymfom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 xml:space="preserve"> tilbakefall, klumpsykdom</w:t>
            </w:r>
          </w:p>
        </w:tc>
        <w:tc>
          <w:tcPr>
            <w:tcW w:w="709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12(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43%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4%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11(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39%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5,9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8,1</w:t>
            </w:r>
          </w:p>
        </w:tc>
        <w:tc>
          <w:tcPr>
            <w:tcW w:w="1316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1003C4" w:rsidRPr="00546852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Fase II, multippel dose, enkelt middel</w:t>
            </w:r>
          </w:p>
        </w:tc>
        <w:tc>
          <w:tcPr>
            <w:tcW w:w="425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Lavgrads eller follikulært B-celle-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lymfom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 xml:space="preserve"> tilbakefall, ny behandling</w:t>
            </w:r>
          </w:p>
        </w:tc>
        <w:tc>
          <w:tcPr>
            <w:tcW w:w="709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23(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40%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6(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11%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17(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29%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15,0+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16,7+</w:t>
            </w:r>
          </w:p>
        </w:tc>
        <w:tc>
          <w:tcPr>
            <w:tcW w:w="1316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19,20</w:t>
            </w:r>
          </w:p>
        </w:tc>
      </w:tr>
      <w:tr w:rsidR="001003C4" w:rsidRPr="00546852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Fase II, multippel dose, kombinert med CHOP-modalitet</w:t>
            </w:r>
          </w:p>
        </w:tc>
        <w:tc>
          <w:tcPr>
            <w:tcW w:w="425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 xml:space="preserve">Tidligere ubehandlet 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intermediat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 xml:space="preserve">- eller høygrads 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lymfom</w:t>
            </w:r>
            <w:proofErr w:type="spellEnd"/>
          </w:p>
        </w:tc>
        <w:tc>
          <w:tcPr>
            <w:tcW w:w="709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29(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96%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19(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63%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10(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33%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11+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17+</w:t>
            </w:r>
          </w:p>
        </w:tc>
        <w:tc>
          <w:tcPr>
            <w:tcW w:w="1316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1003C4" w:rsidRPr="00546852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Fase II, alternativt multippel dosering</w:t>
            </w:r>
          </w:p>
        </w:tc>
        <w:tc>
          <w:tcPr>
            <w:tcW w:w="425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Intermediat</w:t>
            </w:r>
            <w:proofErr w:type="spellEnd"/>
            <w:r w:rsidRPr="00546852">
              <w:rPr>
                <w:rFonts w:ascii="Verdana" w:hAnsi="Verdana"/>
                <w:sz w:val="16"/>
                <w:szCs w:val="16"/>
              </w:rPr>
              <w:t>- eller høygrads B-celle-</w:t>
            </w:r>
            <w:proofErr w:type="spellStart"/>
            <w:r w:rsidRPr="00546852">
              <w:rPr>
                <w:rFonts w:ascii="Verdana" w:hAnsi="Verdana"/>
                <w:sz w:val="16"/>
                <w:szCs w:val="16"/>
              </w:rPr>
              <w:t>lymfom</w:t>
            </w:r>
            <w:proofErr w:type="spellEnd"/>
          </w:p>
        </w:tc>
        <w:tc>
          <w:tcPr>
            <w:tcW w:w="709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17(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32%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5(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9%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12(</w:t>
            </w:r>
            <w:proofErr w:type="gramStart"/>
            <w:r w:rsidRPr="00546852">
              <w:rPr>
                <w:rFonts w:ascii="Verdana" w:hAnsi="Verdana"/>
                <w:sz w:val="16"/>
                <w:szCs w:val="16"/>
              </w:rPr>
              <w:t>22%</w:t>
            </w:r>
            <w:proofErr w:type="gramEnd"/>
            <w:r w:rsidRPr="005468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NA†</w:t>
            </w:r>
          </w:p>
        </w:tc>
        <w:tc>
          <w:tcPr>
            <w:tcW w:w="1134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8,2+</w:t>
            </w:r>
          </w:p>
        </w:tc>
        <w:tc>
          <w:tcPr>
            <w:tcW w:w="1316" w:type="dxa"/>
          </w:tcPr>
          <w:p w:rsidR="001003C4" w:rsidRPr="00546852" w:rsidRDefault="001003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46852"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</w:tbl>
    <w:p w:rsidR="001003C4" w:rsidRPr="002646AD" w:rsidRDefault="001003C4">
      <w:pPr>
        <w:spacing w:after="0" w:line="240" w:lineRule="auto"/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*N= antall </w:t>
      </w:r>
      <w:proofErr w:type="spellStart"/>
      <w:r w:rsidRPr="002646AD">
        <w:rPr>
          <w:rFonts w:ascii="Verdana" w:hAnsi="Verdana"/>
          <w:sz w:val="20"/>
        </w:rPr>
        <w:t>vurderbare</w:t>
      </w:r>
      <w:proofErr w:type="spellEnd"/>
      <w:r w:rsidRPr="002646AD">
        <w:rPr>
          <w:rFonts w:ascii="Verdana" w:hAnsi="Verdana"/>
          <w:sz w:val="20"/>
        </w:rPr>
        <w:t xml:space="preserve"> pasienter</w:t>
      </w:r>
      <w:r w:rsidRPr="002646AD">
        <w:rPr>
          <w:rFonts w:ascii="Verdana" w:hAnsi="Verdana"/>
          <w:sz w:val="20"/>
        </w:rPr>
        <w:br/>
        <w:t>† Ikke tilgjengelig</w:t>
      </w:r>
    </w:p>
    <w:p w:rsidR="001003C4" w:rsidRPr="002646AD" w:rsidRDefault="001003C4">
      <w:pPr>
        <w:rPr>
          <w:rFonts w:ascii="Verdana" w:hAnsi="Verdana"/>
          <w:sz w:val="20"/>
        </w:rPr>
      </w:pPr>
    </w:p>
    <w:p w:rsidR="001003C4" w:rsidRPr="002646AD" w:rsidRDefault="001003C4">
      <w:pPr>
        <w:rPr>
          <w:rFonts w:ascii="Verdana" w:hAnsi="Verdana"/>
          <w:sz w:val="20"/>
        </w:rPr>
        <w:sectPr w:rsidR="001003C4" w:rsidRPr="002646AD">
          <w:pgSz w:w="16840" w:h="11907" w:orient="landscape" w:code="9"/>
          <w:pgMar w:top="1985" w:right="1701" w:bottom="1418" w:left="1418" w:header="708" w:footer="708" w:gutter="0"/>
          <w:lnNumType w:countBy="5"/>
          <w:cols w:space="708"/>
        </w:sectPr>
      </w:pP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lastRenderedPageBreak/>
        <w:t xml:space="preserve">I fase I av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fase I/II dose-arrangerende studium, mottok pasienter 125-375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administrert som fire ukentlige infusjoner. Ingen dose-relaterte toksisiteter ble vist, og 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ble valgt som fase II-dosen. Tumor-regresjoner ble observert i 17 av 37 (</w:t>
      </w:r>
      <w:proofErr w:type="gramStart"/>
      <w:r w:rsidRPr="002646AD">
        <w:rPr>
          <w:rFonts w:ascii="Verdana" w:hAnsi="Verdana"/>
          <w:sz w:val="20"/>
        </w:rPr>
        <w:t>46%</w:t>
      </w:r>
      <w:proofErr w:type="gramEnd"/>
      <w:r w:rsidRPr="002646AD">
        <w:rPr>
          <w:rFonts w:ascii="Verdana" w:hAnsi="Verdana"/>
          <w:sz w:val="20"/>
        </w:rPr>
        <w:t>) pasienter som mottok denne dose, innbefattende 3 (8%) fullstendige responser (CR) og 14 (38%) delvise responser PR (7).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En etterfølgende enkel-arm dreiningsstudium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infusert</w:t>
      </w:r>
      <w:proofErr w:type="spellEnd"/>
      <w:r w:rsidRPr="002646AD">
        <w:rPr>
          <w:rFonts w:ascii="Verdana" w:hAnsi="Verdana"/>
          <w:sz w:val="20"/>
        </w:rPr>
        <w:t xml:space="preserve"> ved 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ukentlig ganger fire ble utført i 166 pasienter med </w:t>
      </w:r>
      <w:proofErr w:type="spellStart"/>
      <w:r w:rsidRPr="002646AD">
        <w:rPr>
          <w:rFonts w:ascii="Verdana" w:hAnsi="Verdana"/>
          <w:sz w:val="20"/>
        </w:rPr>
        <w:t>tilbakefalt</w:t>
      </w:r>
      <w:proofErr w:type="spellEnd"/>
      <w:r w:rsidRPr="002646AD">
        <w:rPr>
          <w:rFonts w:ascii="Verdana" w:hAnsi="Verdana"/>
          <w:sz w:val="20"/>
        </w:rPr>
        <w:t xml:space="preserve"> eller </w:t>
      </w:r>
      <w:proofErr w:type="spellStart"/>
      <w:r w:rsidRPr="002646AD">
        <w:rPr>
          <w:rFonts w:ascii="Verdana" w:hAnsi="Verdana"/>
          <w:sz w:val="20"/>
        </w:rPr>
        <w:t>refraktorisk</w:t>
      </w:r>
      <w:proofErr w:type="spellEnd"/>
      <w:r w:rsidRPr="002646AD">
        <w:rPr>
          <w:rFonts w:ascii="Verdana" w:hAnsi="Verdana"/>
          <w:sz w:val="20"/>
        </w:rPr>
        <w:t xml:space="preserve">, lavgrads eller follikulært NHL (International </w:t>
      </w:r>
      <w:proofErr w:type="spellStart"/>
      <w:r w:rsidRPr="002646AD">
        <w:rPr>
          <w:rFonts w:ascii="Verdana" w:hAnsi="Verdana"/>
          <w:sz w:val="20"/>
        </w:rPr>
        <w:t>Working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Formulation</w:t>
      </w:r>
      <w:proofErr w:type="spellEnd"/>
      <w:r w:rsidRPr="002646AD">
        <w:rPr>
          <w:rFonts w:ascii="Verdana" w:hAnsi="Verdana"/>
          <w:sz w:val="20"/>
        </w:rPr>
        <w:t xml:space="preserve"> [IWF]Typer A-D og REAL-klassifisering, små </w:t>
      </w:r>
      <w:proofErr w:type="spellStart"/>
      <w:r w:rsidRPr="002646AD">
        <w:rPr>
          <w:rFonts w:ascii="Verdana" w:hAnsi="Verdana"/>
          <w:sz w:val="20"/>
        </w:rPr>
        <w:t>lymfotisk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</w:t>
      </w:r>
      <w:r w:rsidRPr="002646AD">
        <w:rPr>
          <w:rFonts w:ascii="Verdana" w:hAnsi="Verdana"/>
          <w:sz w:val="20"/>
        </w:rPr>
        <w:softHyphen/>
        <w:t>fom</w:t>
      </w:r>
      <w:proofErr w:type="spellEnd"/>
      <w:r w:rsidRPr="002646AD">
        <w:rPr>
          <w:rFonts w:ascii="Verdana" w:hAnsi="Verdana"/>
          <w:sz w:val="20"/>
        </w:rPr>
        <w:t>, follikulært senter, follikulære grader I, II, III(8)). Pasienter med tumormasser &gt;10 cm eller med &gt;5.000 lymfocyt</w:t>
      </w:r>
      <w:r w:rsidRPr="002646AD">
        <w:rPr>
          <w:rFonts w:ascii="Verdana" w:hAnsi="Verdana"/>
          <w:sz w:val="20"/>
        </w:rPr>
        <w:softHyphen/>
        <w:t>ter/</w:t>
      </w:r>
      <w:r w:rsidRPr="002646AD">
        <w:rPr>
          <w:rFonts w:ascii="Verdana" w:hAnsi="Verdana"/>
          <w:sz w:val="20"/>
        </w:rPr>
        <w:sym w:font="Symbol" w:char="F06D"/>
      </w:r>
      <w:r w:rsidRPr="002646AD">
        <w:rPr>
          <w:rFonts w:ascii="Verdana" w:hAnsi="Verdana"/>
          <w:sz w:val="20"/>
        </w:rPr>
        <w:t xml:space="preserve">L i det </w:t>
      </w:r>
      <w:proofErr w:type="spellStart"/>
      <w:r w:rsidRPr="002646AD">
        <w:rPr>
          <w:rFonts w:ascii="Verdana" w:hAnsi="Verdana"/>
          <w:sz w:val="20"/>
        </w:rPr>
        <w:t>periferale</w:t>
      </w:r>
      <w:proofErr w:type="spellEnd"/>
      <w:r w:rsidRPr="002646AD">
        <w:rPr>
          <w:rFonts w:ascii="Verdana" w:hAnsi="Verdana"/>
          <w:sz w:val="20"/>
        </w:rPr>
        <w:t xml:space="preserve"> blod ble utelukket fra dette stu</w:t>
      </w:r>
      <w:r w:rsidRPr="002646AD">
        <w:rPr>
          <w:rFonts w:ascii="Verdana" w:hAnsi="Verdana"/>
          <w:sz w:val="20"/>
        </w:rPr>
        <w:softHyphen/>
        <w:t xml:space="preserve">dium. Den midlere alder var 58 år (105 menn og 61 kvinner) og den midlere antall tidligere behandlinger var tre. </w:t>
      </w:r>
      <w:proofErr w:type="spellStart"/>
      <w:r w:rsidRPr="002646AD">
        <w:rPr>
          <w:rFonts w:ascii="Verdana" w:hAnsi="Verdana"/>
          <w:sz w:val="20"/>
        </w:rPr>
        <w:t>Ben</w:t>
      </w:r>
      <w:r w:rsidRPr="002646AD">
        <w:rPr>
          <w:rFonts w:ascii="Verdana" w:hAnsi="Verdana"/>
          <w:sz w:val="20"/>
        </w:rPr>
        <w:softHyphen/>
        <w:t>margsinvolvering</w:t>
      </w:r>
      <w:proofErr w:type="spellEnd"/>
      <w:r w:rsidRPr="002646AD">
        <w:rPr>
          <w:rFonts w:ascii="Verdana" w:hAnsi="Verdana"/>
          <w:sz w:val="20"/>
        </w:rPr>
        <w:t xml:space="preserve"> var til stede i </w:t>
      </w:r>
      <w:proofErr w:type="gramStart"/>
      <w:r w:rsidRPr="002646AD">
        <w:rPr>
          <w:rFonts w:ascii="Verdana" w:hAnsi="Verdana"/>
          <w:sz w:val="20"/>
        </w:rPr>
        <w:t>5</w:t>
      </w:r>
      <w:r w:rsidR="009E4E73">
        <w:rPr>
          <w:rFonts w:ascii="Verdana" w:hAnsi="Verdana"/>
          <w:sz w:val="20"/>
        </w:rPr>
        <w:t>6%</w:t>
      </w:r>
      <w:proofErr w:type="gramEnd"/>
      <w:r w:rsidR="009E4E73">
        <w:rPr>
          <w:rFonts w:ascii="Verdana" w:hAnsi="Verdana"/>
          <w:sz w:val="20"/>
        </w:rPr>
        <w:t xml:space="preserve"> av 149 vurderte pasienter. Fø</w:t>
      </w:r>
      <w:r w:rsidRPr="002646AD">
        <w:rPr>
          <w:rFonts w:ascii="Verdana" w:hAnsi="Verdana"/>
          <w:sz w:val="20"/>
        </w:rPr>
        <w:t xml:space="preserve">rtifem prosent hadde </w:t>
      </w:r>
      <w:r w:rsidRPr="002646AD">
        <w:rPr>
          <w:rFonts w:ascii="Verdana" w:hAnsi="Verdana"/>
          <w:sz w:val="20"/>
        </w:rPr>
        <w:sym w:font="Symbol" w:char="F0B3"/>
      </w:r>
      <w:r w:rsidRPr="002646AD">
        <w:rPr>
          <w:rFonts w:ascii="Verdana" w:hAnsi="Verdana"/>
          <w:sz w:val="20"/>
        </w:rPr>
        <w:t xml:space="preserve"> 2 </w:t>
      </w:r>
      <w:proofErr w:type="spellStart"/>
      <w:r w:rsidRPr="002646AD">
        <w:rPr>
          <w:rFonts w:ascii="Verdana" w:hAnsi="Verdana"/>
          <w:sz w:val="20"/>
        </w:rPr>
        <w:t>ekstranodale</w:t>
      </w:r>
      <w:proofErr w:type="spellEnd"/>
      <w:r w:rsidRPr="002646AD">
        <w:rPr>
          <w:rFonts w:ascii="Verdana" w:hAnsi="Verdana"/>
          <w:sz w:val="20"/>
        </w:rPr>
        <w:t xml:space="preserve"> områder og </w:t>
      </w:r>
      <w:proofErr w:type="gramStart"/>
      <w:r w:rsidRPr="002646AD">
        <w:rPr>
          <w:rFonts w:ascii="Verdana" w:hAnsi="Verdana"/>
          <w:sz w:val="20"/>
        </w:rPr>
        <w:t>41%</w:t>
      </w:r>
      <w:proofErr w:type="gramEnd"/>
      <w:r w:rsidRPr="002646AD">
        <w:rPr>
          <w:rFonts w:ascii="Verdana" w:hAnsi="Verdana"/>
          <w:sz w:val="20"/>
        </w:rPr>
        <w:t xml:space="preserve"> hadde klumpssykdom (</w:t>
      </w:r>
      <w:r w:rsidRPr="002646AD">
        <w:rPr>
          <w:rFonts w:ascii="Verdana" w:hAnsi="Verdana"/>
          <w:sz w:val="20"/>
        </w:rPr>
        <w:sym w:font="Symbol" w:char="F0B3"/>
      </w:r>
      <w:r w:rsidRPr="002646AD">
        <w:rPr>
          <w:rFonts w:ascii="Verdana" w:hAnsi="Verdana"/>
          <w:sz w:val="20"/>
        </w:rPr>
        <w:t xml:space="preserve"> 5 cm).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Fullstendig respons krevet regresjonen av alle lymfeknuter til &lt;1 x 1 cm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vist i to tilfeller minst 28 dager fra hver</w:t>
      </w:r>
      <w:r w:rsidRPr="002646AD">
        <w:rPr>
          <w:rFonts w:ascii="Verdana" w:hAnsi="Verdana"/>
          <w:sz w:val="20"/>
        </w:rPr>
        <w:softHyphen/>
        <w:t xml:space="preserve">andre på hals, bryst, buk og underlivs CT-avbildninger, resolusjon av alle </w:t>
      </w:r>
      <w:proofErr w:type="spellStart"/>
      <w:r w:rsidRPr="002646AD">
        <w:rPr>
          <w:rFonts w:ascii="Verdana" w:hAnsi="Verdana"/>
          <w:sz w:val="20"/>
        </w:rPr>
        <w:t>symtomer</w:t>
      </w:r>
      <w:proofErr w:type="spellEnd"/>
      <w:r w:rsidRPr="002646AD">
        <w:rPr>
          <w:rFonts w:ascii="Verdana" w:hAnsi="Verdana"/>
          <w:sz w:val="20"/>
        </w:rPr>
        <w:t xml:space="preserve"> og tegn på </w:t>
      </w:r>
      <w:proofErr w:type="spellStart"/>
      <w:r w:rsidRPr="002646AD">
        <w:rPr>
          <w:rFonts w:ascii="Verdana" w:hAnsi="Verdana"/>
          <w:sz w:val="20"/>
        </w:rPr>
        <w:t>lymfomer</w:t>
      </w:r>
      <w:proofErr w:type="spellEnd"/>
      <w:r w:rsidRPr="002646AD">
        <w:rPr>
          <w:rFonts w:ascii="Verdana" w:hAnsi="Verdana"/>
          <w:sz w:val="20"/>
        </w:rPr>
        <w:t>, samt nor</w:t>
      </w:r>
      <w:r w:rsidRPr="002646AD">
        <w:rPr>
          <w:rFonts w:ascii="Verdana" w:hAnsi="Verdana"/>
          <w:sz w:val="20"/>
        </w:rPr>
        <w:softHyphen/>
        <w:t xml:space="preserve">malisering av benmarg, lever og milt. Delvis respons krevet en </w:t>
      </w:r>
      <w:r w:rsidRPr="002646AD">
        <w:rPr>
          <w:rFonts w:ascii="Verdana" w:hAnsi="Verdana"/>
          <w:sz w:val="20"/>
        </w:rPr>
        <w:sym w:font="Symbol" w:char="F0B3"/>
      </w:r>
      <w:r w:rsidRPr="002646AD">
        <w:rPr>
          <w:rFonts w:ascii="Verdana" w:hAnsi="Verdana"/>
          <w:sz w:val="20"/>
        </w:rPr>
        <w:t xml:space="preserve"> </w:t>
      </w:r>
      <w:proofErr w:type="gramStart"/>
      <w:r w:rsidRPr="002646AD">
        <w:rPr>
          <w:rFonts w:ascii="Verdana" w:hAnsi="Verdana"/>
          <w:sz w:val="20"/>
        </w:rPr>
        <w:t>50%</w:t>
      </w:r>
      <w:proofErr w:type="gramEnd"/>
      <w:r w:rsidRPr="002646AD">
        <w:rPr>
          <w:rFonts w:ascii="Verdana" w:hAnsi="Verdana"/>
          <w:sz w:val="20"/>
        </w:rPr>
        <w:t xml:space="preserve"> minskning i summen av produktene av perpendikulære målinger av lesjoner uten noe mål av progressiv sykdom i minst 28 dager. Pasienter som ikke mottok en CR eller PR ble betraktet som ikke-mottakelige, selv om en netto minskning (&gt; </w:t>
      </w:r>
      <w:proofErr w:type="gramStart"/>
      <w:r w:rsidRPr="002646AD">
        <w:rPr>
          <w:rFonts w:ascii="Verdana" w:hAnsi="Verdana"/>
          <w:sz w:val="20"/>
        </w:rPr>
        <w:t>50%</w:t>
      </w:r>
      <w:proofErr w:type="gramEnd"/>
      <w:r w:rsidRPr="002646AD">
        <w:rPr>
          <w:rFonts w:ascii="Verdana" w:hAnsi="Verdana"/>
          <w:sz w:val="20"/>
        </w:rPr>
        <w:t xml:space="preserve">) av målbar sykdom ble observert. </w:t>
      </w:r>
      <w:proofErr w:type="spellStart"/>
      <w:r w:rsidRPr="002646AD">
        <w:rPr>
          <w:rFonts w:ascii="Verdana" w:hAnsi="Verdana"/>
          <w:sz w:val="20"/>
        </w:rPr>
        <w:t>Progre</w:t>
      </w:r>
      <w:r w:rsidRPr="002646AD">
        <w:rPr>
          <w:rFonts w:ascii="Verdana" w:hAnsi="Verdana"/>
          <w:sz w:val="20"/>
        </w:rPr>
        <w:softHyphen/>
        <w:t>sjonstiden</w:t>
      </w:r>
      <w:proofErr w:type="spellEnd"/>
      <w:r w:rsidRPr="002646AD">
        <w:rPr>
          <w:rFonts w:ascii="Verdana" w:hAnsi="Verdana"/>
          <w:sz w:val="20"/>
        </w:rPr>
        <w:t xml:space="preserve"> ble målt fra første infusjon inntil progresjon.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Den totale responsgrad (ORR) var </w:t>
      </w:r>
      <w:proofErr w:type="gramStart"/>
      <w:r w:rsidRPr="002646AD">
        <w:rPr>
          <w:rFonts w:ascii="Verdana" w:hAnsi="Verdana"/>
          <w:sz w:val="20"/>
        </w:rPr>
        <w:t>48%</w:t>
      </w:r>
      <w:proofErr w:type="gramEnd"/>
      <w:r w:rsidRPr="002646AD">
        <w:rPr>
          <w:rFonts w:ascii="Verdana" w:hAnsi="Verdana"/>
          <w:sz w:val="20"/>
        </w:rPr>
        <w:t xml:space="preserve"> med en 6% CR og en 42% PR-grad (8). Den midlere tid til progresjon (TTP) for reagerende individer var 13,2 måneder og den midlere varig</w:t>
      </w:r>
      <w:r w:rsidRPr="002646AD">
        <w:rPr>
          <w:rFonts w:ascii="Verdana" w:hAnsi="Verdana"/>
          <w:sz w:val="20"/>
        </w:rPr>
        <w:softHyphen/>
        <w:t>het av respons (DR) var 11,6 måneder. Tjueto av 80 (</w:t>
      </w:r>
      <w:proofErr w:type="gramStart"/>
      <w:r w:rsidRPr="002646AD">
        <w:rPr>
          <w:rFonts w:ascii="Verdana" w:hAnsi="Verdana"/>
          <w:sz w:val="20"/>
        </w:rPr>
        <w:t>28%</w:t>
      </w:r>
      <w:proofErr w:type="gramEnd"/>
      <w:r w:rsidRPr="002646AD">
        <w:rPr>
          <w:rFonts w:ascii="Verdana" w:hAnsi="Verdana"/>
          <w:sz w:val="20"/>
        </w:rPr>
        <w:t>) av reagerende individer forblir i pågående remisjon ved 20,9+ til 32,9+ måneder (9).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Administrasjon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resulterte i en rask og ved</w:t>
      </w:r>
      <w:r w:rsidRPr="002646AD">
        <w:rPr>
          <w:rFonts w:ascii="Verdana" w:hAnsi="Verdana"/>
          <w:sz w:val="20"/>
        </w:rPr>
        <w:softHyphen/>
        <w:t xml:space="preserve">varende fjerning av B-celler. Sirkulerende B-celler ble fjernet innen de første tre doser med vedvarende fjerning i opp til seks til ni måneder etter-behandling i </w:t>
      </w:r>
      <w:proofErr w:type="gramStart"/>
      <w:r w:rsidRPr="002646AD">
        <w:rPr>
          <w:rFonts w:ascii="Verdana" w:hAnsi="Verdana"/>
          <w:sz w:val="20"/>
        </w:rPr>
        <w:t>83%</w:t>
      </w:r>
      <w:proofErr w:type="gramEnd"/>
      <w:r w:rsidRPr="002646AD">
        <w:rPr>
          <w:rFonts w:ascii="Verdana" w:hAnsi="Verdana"/>
          <w:sz w:val="20"/>
        </w:rPr>
        <w:t xml:space="preserve"> av pasientene. Midlere B-cellenivåer ventet til normalt ved 12 måneder etter behandling. Selv om midlere NK-celletall forble uendret ble en positiv korrelasjon observert mellom høyere absolutte NK-celletall ved basisk linje og respons til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>(10).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lastRenderedPageBreak/>
        <w:t xml:space="preserve">Flere grunnleggende prognostiske faktorer ble analysert for å bestemme deres korrelasjon overfor respons. Signifikant var i 23 pasienter med tilbakefall etter ABMT eller PBSC, ORR </w:t>
      </w:r>
      <w:proofErr w:type="gramStart"/>
      <w:r w:rsidRPr="002646AD">
        <w:rPr>
          <w:rFonts w:ascii="Verdana" w:hAnsi="Verdana"/>
          <w:sz w:val="20"/>
        </w:rPr>
        <w:t>78%</w:t>
      </w:r>
      <w:proofErr w:type="gramEnd"/>
      <w:r w:rsidRPr="002646AD">
        <w:rPr>
          <w:rFonts w:ascii="Verdana" w:hAnsi="Verdana"/>
          <w:sz w:val="20"/>
        </w:rPr>
        <w:t xml:space="preserve"> mot 43% i pasienter som ikke undergår tidligere høydose-terapi (p&lt;0,01). I en </w:t>
      </w:r>
      <w:proofErr w:type="spellStart"/>
      <w:r w:rsidRPr="002646AD">
        <w:rPr>
          <w:rFonts w:ascii="Verdana" w:hAnsi="Verdana"/>
          <w:sz w:val="20"/>
        </w:rPr>
        <w:t>multivariat</w:t>
      </w:r>
      <w:proofErr w:type="spellEnd"/>
      <w:r w:rsidRPr="002646AD">
        <w:rPr>
          <w:rFonts w:ascii="Verdana" w:hAnsi="Verdana"/>
          <w:sz w:val="20"/>
        </w:rPr>
        <w:t xml:space="preserve">-analyse, var ORR høyere i pasienter med follikulær NHL sammenlignet med små </w:t>
      </w:r>
      <w:proofErr w:type="spellStart"/>
      <w:r w:rsidRPr="002646AD">
        <w:rPr>
          <w:rFonts w:ascii="Verdana" w:hAnsi="Verdana"/>
          <w:sz w:val="20"/>
        </w:rPr>
        <w:t>lymfocytisk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(</w:t>
      </w:r>
      <w:proofErr w:type="gramStart"/>
      <w:r w:rsidRPr="002646AD">
        <w:rPr>
          <w:rFonts w:ascii="Verdana" w:hAnsi="Verdana"/>
          <w:sz w:val="20"/>
        </w:rPr>
        <w:t>58%</w:t>
      </w:r>
      <w:proofErr w:type="gramEnd"/>
      <w:r w:rsidRPr="002646AD">
        <w:rPr>
          <w:rFonts w:ascii="Verdana" w:hAnsi="Verdana"/>
          <w:sz w:val="20"/>
        </w:rPr>
        <w:t xml:space="preserve"> mot 12%, p&lt;0,01), og høyere i pasienter med </w:t>
      </w:r>
      <w:proofErr w:type="spellStart"/>
      <w:r w:rsidRPr="002646AD">
        <w:rPr>
          <w:rFonts w:ascii="Verdana" w:hAnsi="Verdana"/>
          <w:sz w:val="20"/>
        </w:rPr>
        <w:t>kjemosensitiv</w:t>
      </w:r>
      <w:proofErr w:type="spellEnd"/>
      <w:r w:rsidRPr="002646AD">
        <w:rPr>
          <w:rFonts w:ascii="Verdana" w:hAnsi="Verdana"/>
          <w:sz w:val="20"/>
        </w:rPr>
        <w:t xml:space="preserve"> tilbakefall sammenlignet med </w:t>
      </w:r>
      <w:proofErr w:type="spellStart"/>
      <w:r w:rsidRPr="002646AD">
        <w:rPr>
          <w:rFonts w:ascii="Verdana" w:hAnsi="Verdana"/>
          <w:sz w:val="20"/>
        </w:rPr>
        <w:t>kjemoresistent</w:t>
      </w:r>
      <w:proofErr w:type="spellEnd"/>
      <w:r w:rsidRPr="002646AD">
        <w:rPr>
          <w:rFonts w:ascii="Verdana" w:hAnsi="Verdana"/>
          <w:sz w:val="20"/>
        </w:rPr>
        <w:t xml:space="preserve"> tilbakefall (53% mot 36%, p = 0,06). Ingen effekt på responsgrad var assosiert med: alder &gt; 60 år, </w:t>
      </w:r>
      <w:proofErr w:type="spellStart"/>
      <w:r w:rsidRPr="002646AD">
        <w:rPr>
          <w:rFonts w:ascii="Verdana" w:hAnsi="Verdana"/>
          <w:sz w:val="20"/>
        </w:rPr>
        <w:t>ekstranodal</w:t>
      </w:r>
      <w:proofErr w:type="spellEnd"/>
      <w:r w:rsidRPr="002646AD">
        <w:rPr>
          <w:rFonts w:ascii="Verdana" w:hAnsi="Verdana"/>
          <w:sz w:val="20"/>
        </w:rPr>
        <w:t xml:space="preserve"> sykdom, tidligere </w:t>
      </w:r>
      <w:proofErr w:type="spellStart"/>
      <w:r w:rsidRPr="002646AD">
        <w:rPr>
          <w:rFonts w:ascii="Verdana" w:hAnsi="Verdana"/>
          <w:sz w:val="20"/>
        </w:rPr>
        <w:t>antracyklin</w:t>
      </w:r>
      <w:proofErr w:type="spellEnd"/>
      <w:r w:rsidRPr="002646AD">
        <w:rPr>
          <w:rFonts w:ascii="Verdana" w:hAnsi="Verdana"/>
          <w:sz w:val="20"/>
        </w:rPr>
        <w:t xml:space="preserve"> terapi; eller benmargsinvolvering.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En statistisk signifikant korrelasjon ble funnet mellom </w:t>
      </w:r>
      <w:proofErr w:type="gramStart"/>
      <w:r w:rsidRPr="002646AD">
        <w:rPr>
          <w:rFonts w:ascii="Verdana" w:hAnsi="Verdana"/>
          <w:sz w:val="20"/>
        </w:rPr>
        <w:t>den</w:t>
      </w:r>
      <w:proofErr w:type="gramEnd"/>
      <w:r w:rsidRPr="002646AD">
        <w:rPr>
          <w:rFonts w:ascii="Verdana" w:hAnsi="Verdana"/>
          <w:sz w:val="20"/>
        </w:rPr>
        <w:t xml:space="preserve"> midlere serum antistoff-konsentrasjon og respons ved flere tidspunkter i løpet av behandling og oppfølging (11).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Serumnivåer av antistoff var høyere i pasienter med folli</w:t>
      </w:r>
      <w:r w:rsidRPr="002646AD">
        <w:rPr>
          <w:rFonts w:ascii="Verdana" w:hAnsi="Verdana"/>
          <w:sz w:val="20"/>
        </w:rPr>
        <w:softHyphen/>
        <w:t xml:space="preserve">kulær NHL sammenlignet med små </w:t>
      </w:r>
      <w:proofErr w:type="spellStart"/>
      <w:r w:rsidRPr="002646AD">
        <w:rPr>
          <w:rFonts w:ascii="Verdana" w:hAnsi="Verdana"/>
          <w:sz w:val="20"/>
        </w:rPr>
        <w:t>lymfocytisk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>. Gjennom</w:t>
      </w:r>
      <w:r w:rsidRPr="002646AD">
        <w:rPr>
          <w:rFonts w:ascii="Verdana" w:hAnsi="Verdana"/>
          <w:sz w:val="20"/>
        </w:rPr>
        <w:softHyphen/>
        <w:t>snittlig serum-antistoff var også invers korrelert med målinger av tumormasse og med antallet sirkulerende B-cel</w:t>
      </w:r>
      <w:r w:rsidRPr="002646AD">
        <w:rPr>
          <w:rFonts w:ascii="Verdana" w:hAnsi="Verdana"/>
          <w:sz w:val="20"/>
        </w:rPr>
        <w:softHyphen/>
        <w:t xml:space="preserve">ler ved basisk linje. Assosiasjonen av nedre </w:t>
      </w:r>
      <w:proofErr w:type="spellStart"/>
      <w:r w:rsidRPr="002646AD">
        <w:rPr>
          <w:rFonts w:ascii="Verdana" w:hAnsi="Verdana"/>
          <w:sz w:val="20"/>
        </w:rPr>
        <w:t>serumanti</w:t>
      </w:r>
      <w:r w:rsidRPr="002646AD">
        <w:rPr>
          <w:rFonts w:ascii="Verdana" w:hAnsi="Verdana"/>
          <w:sz w:val="20"/>
        </w:rPr>
        <w:softHyphen/>
        <w:t>stoff-konsentrasjoner</w:t>
      </w:r>
      <w:proofErr w:type="spellEnd"/>
      <w:r w:rsidRPr="002646AD">
        <w:rPr>
          <w:rFonts w:ascii="Verdana" w:hAnsi="Verdana"/>
          <w:sz w:val="20"/>
        </w:rPr>
        <w:t xml:space="preserve"> med høyere antall sirkulerende NHL-celler og med høyere tumormasse antyder at </w:t>
      </w:r>
      <w:proofErr w:type="spellStart"/>
      <w:r w:rsidRPr="002646AD">
        <w:rPr>
          <w:rFonts w:ascii="Verdana" w:hAnsi="Verdana"/>
          <w:sz w:val="20"/>
        </w:rPr>
        <w:t>hovedeffekten</w:t>
      </w:r>
      <w:proofErr w:type="spellEnd"/>
      <w:r w:rsidRPr="002646AD">
        <w:rPr>
          <w:rFonts w:ascii="Verdana" w:hAnsi="Verdana"/>
          <w:sz w:val="20"/>
        </w:rPr>
        <w:t xml:space="preserve"> av antistoff klargjøring er ovenfor tumorceller.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Assosiasjonen av høye serumantistoff-konsentrasjoner med respons og lavere tumormasse eller sirkulerende celler antyder at høyere eller flere doser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kan være nødvendig for å indusere responser i enkelte </w:t>
      </w:r>
      <w:proofErr w:type="spellStart"/>
      <w:r w:rsidRPr="002646AD">
        <w:rPr>
          <w:rFonts w:ascii="Verdana" w:hAnsi="Verdana"/>
          <w:sz w:val="20"/>
        </w:rPr>
        <w:t>subsett</w:t>
      </w:r>
      <w:proofErr w:type="spellEnd"/>
      <w:r w:rsidRPr="002646AD">
        <w:rPr>
          <w:rFonts w:ascii="Verdana" w:hAnsi="Verdana"/>
          <w:sz w:val="20"/>
        </w:rPr>
        <w:t xml:space="preserve"> av pasienter, så som dem med klumpsykdom.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Ikke desto mindre ble responser observert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i </w:t>
      </w:r>
      <w:proofErr w:type="gramStart"/>
      <w:r w:rsidRPr="002646AD">
        <w:rPr>
          <w:rFonts w:ascii="Verdana" w:hAnsi="Verdana"/>
          <w:sz w:val="20"/>
        </w:rPr>
        <w:t>43%</w:t>
      </w:r>
      <w:proofErr w:type="gramEnd"/>
      <w:r w:rsidRPr="002646AD">
        <w:rPr>
          <w:rFonts w:ascii="Verdana" w:hAnsi="Verdana"/>
          <w:sz w:val="20"/>
        </w:rPr>
        <w:t xml:space="preserve"> pasienter med svulster &gt;5 cm og i 35% pasienter med svulster &gt;7 cm, noe som antyder at behandling av pasienter med klumpsykdom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er mulig. Dette er over</w:t>
      </w:r>
      <w:r w:rsidRPr="002646AD">
        <w:rPr>
          <w:rFonts w:ascii="Verdana" w:hAnsi="Verdana"/>
          <w:sz w:val="20"/>
        </w:rPr>
        <w:softHyphen/>
        <w:t>raskende i betraktning av at det lenge var antatt at anti</w:t>
      </w:r>
      <w:r w:rsidRPr="002646AD">
        <w:rPr>
          <w:rFonts w:ascii="Verdana" w:hAnsi="Verdana"/>
          <w:sz w:val="20"/>
        </w:rPr>
        <w:softHyphen/>
        <w:t>stoff-terapi ikke er mulig til å behandle klumpsykdom grun</w:t>
      </w:r>
      <w:r w:rsidRPr="002646AD">
        <w:rPr>
          <w:rFonts w:ascii="Verdana" w:hAnsi="Verdana"/>
          <w:sz w:val="20"/>
        </w:rPr>
        <w:softHyphen/>
        <w:t>net den kompakte natur av svulstene.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 et studium utført i </w:t>
      </w:r>
      <w:proofErr w:type="spellStart"/>
      <w:r w:rsidRPr="002646AD">
        <w:rPr>
          <w:rFonts w:ascii="Verdana" w:hAnsi="Verdana"/>
          <w:sz w:val="20"/>
        </w:rPr>
        <w:t>japan</w:t>
      </w:r>
      <w:proofErr w:type="spellEnd"/>
      <w:r w:rsidRPr="002646AD">
        <w:rPr>
          <w:rFonts w:ascii="Verdana" w:hAnsi="Verdana"/>
          <w:sz w:val="20"/>
        </w:rPr>
        <w:t xml:space="preserve"> (12), ble pasienter med til</w:t>
      </w:r>
      <w:r w:rsidRPr="002646AD">
        <w:rPr>
          <w:rFonts w:ascii="Verdana" w:hAnsi="Verdana"/>
          <w:sz w:val="20"/>
        </w:rPr>
        <w:softHyphen/>
        <w:t>bakefall av B-celle-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behandlet med enten 250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(N=4) eller 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(N=8)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ukentlig ganger fire. Av 11 </w:t>
      </w:r>
      <w:proofErr w:type="spellStart"/>
      <w:r w:rsidRPr="002646AD">
        <w:rPr>
          <w:rFonts w:ascii="Verdana" w:hAnsi="Verdana"/>
          <w:sz w:val="20"/>
        </w:rPr>
        <w:t>vurderbare</w:t>
      </w:r>
      <w:proofErr w:type="spellEnd"/>
      <w:r w:rsidRPr="002646AD">
        <w:rPr>
          <w:rFonts w:ascii="Verdana" w:hAnsi="Verdana"/>
          <w:sz w:val="20"/>
        </w:rPr>
        <w:t xml:space="preserve"> pasienter hadde 8 follikulær NHL, 2 hadde diffus stor-</w:t>
      </w:r>
      <w:proofErr w:type="spellStart"/>
      <w:r w:rsidRPr="002646AD">
        <w:rPr>
          <w:rFonts w:ascii="Verdana" w:hAnsi="Verdana"/>
          <w:sz w:val="20"/>
        </w:rPr>
        <w:t>cellet</w:t>
      </w:r>
      <w:proofErr w:type="spellEnd"/>
      <w:r w:rsidRPr="002646AD">
        <w:rPr>
          <w:rFonts w:ascii="Verdana" w:hAnsi="Verdana"/>
          <w:sz w:val="20"/>
        </w:rPr>
        <w:t xml:space="preserve"> NHL, og en hadde kappecelle </w:t>
      </w:r>
      <w:proofErr w:type="spellStart"/>
      <w:r w:rsidRPr="002646AD">
        <w:rPr>
          <w:rFonts w:ascii="Verdana" w:hAnsi="Verdana"/>
          <w:sz w:val="20"/>
        </w:rPr>
        <w:t>lym</w:t>
      </w:r>
      <w:r w:rsidRPr="002646AD">
        <w:rPr>
          <w:rFonts w:ascii="Verdana" w:hAnsi="Verdana"/>
          <w:sz w:val="20"/>
        </w:rPr>
        <w:softHyphen/>
        <w:t>fom</w:t>
      </w:r>
      <w:proofErr w:type="spellEnd"/>
      <w:r w:rsidRPr="002646AD">
        <w:rPr>
          <w:rFonts w:ascii="Verdana" w:hAnsi="Verdana"/>
          <w:sz w:val="20"/>
        </w:rPr>
        <w:t xml:space="preserve">. To av de 11 hadde en CR og 5 hadde en PR for en ORR av </w:t>
      </w:r>
      <w:proofErr w:type="gramStart"/>
      <w:r w:rsidRPr="002646AD">
        <w:rPr>
          <w:rFonts w:ascii="Verdana" w:hAnsi="Verdana"/>
          <w:sz w:val="20"/>
        </w:rPr>
        <w:t>64%</w:t>
      </w:r>
      <w:proofErr w:type="gramEnd"/>
      <w:r w:rsidRPr="002646AD">
        <w:rPr>
          <w:rFonts w:ascii="Verdana" w:hAnsi="Verdana"/>
          <w:sz w:val="20"/>
        </w:rPr>
        <w:t>; hvor alle reagerende individer hadde follikulær histo</w:t>
      </w:r>
      <w:r w:rsidRPr="002646AD">
        <w:rPr>
          <w:rFonts w:ascii="Verdana" w:hAnsi="Verdana"/>
          <w:sz w:val="20"/>
        </w:rPr>
        <w:softHyphen/>
        <w:t>logi.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lastRenderedPageBreak/>
        <w:t xml:space="preserve">Fordi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serumnivåer og respons var positivt korre</w:t>
      </w:r>
      <w:r w:rsidRPr="002646AD">
        <w:rPr>
          <w:rFonts w:ascii="Verdana" w:hAnsi="Verdana"/>
          <w:sz w:val="20"/>
        </w:rPr>
        <w:softHyphen/>
        <w:t xml:space="preserve">lert i tidligere studier ble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fase II-studium på åtte ukentlige doser av 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utført i lavgrads eller follikulære NHL-pasienter. ORR var </w:t>
      </w:r>
      <w:proofErr w:type="gramStart"/>
      <w:r w:rsidRPr="002646AD">
        <w:rPr>
          <w:rFonts w:ascii="Verdana" w:hAnsi="Verdana"/>
          <w:sz w:val="20"/>
        </w:rPr>
        <w:t>60%</w:t>
      </w:r>
      <w:proofErr w:type="gramEnd"/>
      <w:r w:rsidRPr="002646AD">
        <w:rPr>
          <w:rFonts w:ascii="Verdana" w:hAnsi="Verdana"/>
          <w:sz w:val="20"/>
        </w:rPr>
        <w:t xml:space="preserve"> i </w:t>
      </w:r>
      <w:proofErr w:type="spellStart"/>
      <w:r w:rsidRPr="002646AD">
        <w:rPr>
          <w:rFonts w:ascii="Verdana" w:hAnsi="Verdana"/>
          <w:sz w:val="20"/>
        </w:rPr>
        <w:t>vurderbare</w:t>
      </w:r>
      <w:proofErr w:type="spellEnd"/>
      <w:r w:rsidRPr="002646AD">
        <w:rPr>
          <w:rFonts w:ascii="Verdana" w:hAnsi="Verdana"/>
          <w:sz w:val="20"/>
        </w:rPr>
        <w:t xml:space="preserve"> pasienter, med en 14% CR- og en 46% PR-grad. Midlere ver</w:t>
      </w:r>
      <w:r w:rsidRPr="002646AD">
        <w:rPr>
          <w:rFonts w:ascii="Verdana" w:hAnsi="Verdana"/>
          <w:sz w:val="20"/>
        </w:rPr>
        <w:softHyphen/>
        <w:t>dier for TTP i reagerende individer og DR var henholds</w:t>
      </w:r>
      <w:r w:rsidRPr="002646AD">
        <w:rPr>
          <w:rFonts w:ascii="Verdana" w:hAnsi="Verdana"/>
          <w:sz w:val="20"/>
        </w:rPr>
        <w:softHyphen/>
        <w:t>vis 13,4+ måneder og 19,4+ måneder (13). Selv om det er vanske</w:t>
      </w:r>
      <w:r w:rsidRPr="002646AD">
        <w:rPr>
          <w:rFonts w:ascii="Verdana" w:hAnsi="Verdana"/>
          <w:sz w:val="20"/>
        </w:rPr>
        <w:softHyphen/>
        <w:t>lig å sammenligne på tvers av studier, synes det som om TTP og DR kan bli forbedret ved å bruke flere doser.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 motsetning til tidlige antagelser om antistoff-terapi er anvendelige kun i mikrometastatisk sykdom, er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svært aktiv i </w:t>
      </w:r>
      <w:proofErr w:type="spellStart"/>
      <w:r w:rsidRPr="002646AD">
        <w:rPr>
          <w:rFonts w:ascii="Verdana" w:hAnsi="Verdana"/>
          <w:sz w:val="20"/>
        </w:rPr>
        <w:t>høymasse</w:t>
      </w:r>
      <w:proofErr w:type="spellEnd"/>
      <w:r w:rsidRPr="002646AD">
        <w:rPr>
          <w:rFonts w:ascii="Verdana" w:hAnsi="Verdana"/>
          <w:sz w:val="20"/>
        </w:rPr>
        <w:t xml:space="preserve"> sykdom. I et separat studium mottok 31 pasienter med tilbakefall eller </w:t>
      </w:r>
      <w:proofErr w:type="spellStart"/>
      <w:r w:rsidRPr="002646AD">
        <w:rPr>
          <w:rFonts w:ascii="Verdana" w:hAnsi="Verdana"/>
          <w:sz w:val="20"/>
        </w:rPr>
        <w:t>refraktorisk</w:t>
      </w:r>
      <w:proofErr w:type="spellEnd"/>
      <w:r w:rsidRPr="002646AD">
        <w:rPr>
          <w:rFonts w:ascii="Verdana" w:hAnsi="Verdana"/>
          <w:sz w:val="20"/>
        </w:rPr>
        <w:t>, klumpet lavgrads NHL (enkel lesjon av &gt;10 cm i diameter) 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som fire ukentlige infusjoner. Tolv av 28 </w:t>
      </w:r>
      <w:proofErr w:type="spellStart"/>
      <w:r w:rsidRPr="002646AD">
        <w:rPr>
          <w:rFonts w:ascii="Verdana" w:hAnsi="Verdana"/>
          <w:sz w:val="20"/>
        </w:rPr>
        <w:t>vur</w:t>
      </w:r>
      <w:r w:rsidRPr="002646AD">
        <w:rPr>
          <w:rFonts w:ascii="Verdana" w:hAnsi="Verdana"/>
          <w:sz w:val="20"/>
        </w:rPr>
        <w:softHyphen/>
        <w:t>derbare</w:t>
      </w:r>
      <w:proofErr w:type="spellEnd"/>
      <w:r w:rsidRPr="002646AD">
        <w:rPr>
          <w:rFonts w:ascii="Verdana" w:hAnsi="Verdana"/>
          <w:sz w:val="20"/>
        </w:rPr>
        <w:t xml:space="preserve"> pasienter (</w:t>
      </w:r>
      <w:proofErr w:type="gramStart"/>
      <w:r w:rsidRPr="002646AD">
        <w:rPr>
          <w:rFonts w:ascii="Verdana" w:hAnsi="Verdana"/>
          <w:sz w:val="20"/>
        </w:rPr>
        <w:t>43%</w:t>
      </w:r>
      <w:proofErr w:type="gramEnd"/>
      <w:r w:rsidRPr="002646AD">
        <w:rPr>
          <w:rFonts w:ascii="Verdana" w:hAnsi="Verdana"/>
          <w:sz w:val="20"/>
        </w:rPr>
        <w:t>) viste en CR (1, 4%) eller PR (11,39%) (14).</w:t>
      </w:r>
    </w:p>
    <w:p w:rsidR="001003C4" w:rsidRPr="002646AD" w:rsidRDefault="001003C4">
      <w:pPr>
        <w:pStyle w:val="Overskrift1"/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t>Waldenstrøms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makroglobulinemia</w:t>
      </w:r>
      <w:proofErr w:type="spellEnd"/>
    </w:p>
    <w:p w:rsidR="001003C4" w:rsidRPr="002646AD" w:rsidRDefault="001003C4">
      <w:pPr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t>Waldenstrøms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makroglobulinemia</w:t>
      </w:r>
      <w:proofErr w:type="spellEnd"/>
      <w:r w:rsidRPr="002646AD">
        <w:rPr>
          <w:rFonts w:ascii="Verdana" w:hAnsi="Verdana"/>
          <w:sz w:val="20"/>
        </w:rPr>
        <w:t xml:space="preserve"> (WM) er en sykdom hvor B-lymfocytter skiller ut store mengde </w:t>
      </w:r>
      <w:proofErr w:type="spellStart"/>
      <w:r w:rsidRPr="002646AD">
        <w:rPr>
          <w:rFonts w:ascii="Verdana" w:hAnsi="Verdana"/>
          <w:sz w:val="20"/>
        </w:rPr>
        <w:t>IgM</w:t>
      </w:r>
      <w:proofErr w:type="spellEnd"/>
      <w:r w:rsidRPr="002646AD">
        <w:rPr>
          <w:rFonts w:ascii="Verdana" w:hAnsi="Verdana"/>
          <w:sz w:val="20"/>
        </w:rPr>
        <w:t xml:space="preserve">-antistoff. WM opptrer vanligvis i personer over seksti, men har blitt påvist i voksne i deres tidlige </w:t>
      </w:r>
      <w:proofErr w:type="spellStart"/>
      <w:r w:rsidRPr="002646AD">
        <w:rPr>
          <w:rFonts w:ascii="Verdana" w:hAnsi="Verdana"/>
          <w:sz w:val="20"/>
        </w:rPr>
        <w:t>tredve</w:t>
      </w:r>
      <w:proofErr w:type="spellEnd"/>
      <w:r w:rsidRPr="002646AD">
        <w:rPr>
          <w:rFonts w:ascii="Verdana" w:hAnsi="Verdana"/>
          <w:sz w:val="20"/>
        </w:rPr>
        <w:t xml:space="preserve"> år. WM i dag ansett for å være en sjelden ikke helbredelig indolent sykdom, som tidligere har blitt behandlet ved </w:t>
      </w:r>
      <w:proofErr w:type="spellStart"/>
      <w:r w:rsidRPr="002646AD">
        <w:rPr>
          <w:rFonts w:ascii="Verdana" w:hAnsi="Verdana"/>
          <w:sz w:val="20"/>
        </w:rPr>
        <w:t>plasmaforese</w:t>
      </w:r>
      <w:proofErr w:type="spellEnd"/>
      <w:r w:rsidRPr="002646AD">
        <w:rPr>
          <w:rFonts w:ascii="Verdana" w:hAnsi="Verdana"/>
          <w:sz w:val="20"/>
        </w:rPr>
        <w:t xml:space="preserve"> for å redu</w:t>
      </w:r>
      <w:r w:rsidRPr="002646AD">
        <w:rPr>
          <w:rFonts w:ascii="Verdana" w:hAnsi="Verdana"/>
          <w:sz w:val="20"/>
        </w:rPr>
        <w:softHyphen/>
        <w:t xml:space="preserve">sere serumviskositet. Kjemoterapeutiske medikamenter så som et alkyleringsmiddel og et </w:t>
      </w:r>
      <w:proofErr w:type="spellStart"/>
      <w:r w:rsidRPr="002646AD">
        <w:rPr>
          <w:rFonts w:ascii="Verdana" w:hAnsi="Verdana"/>
          <w:sz w:val="20"/>
        </w:rPr>
        <w:t>kortikosteroid</w:t>
      </w:r>
      <w:proofErr w:type="spellEnd"/>
      <w:r w:rsidRPr="002646AD">
        <w:rPr>
          <w:rFonts w:ascii="Verdana" w:hAnsi="Verdana"/>
          <w:sz w:val="20"/>
        </w:rPr>
        <w:t xml:space="preserve"> blir ofte fore</w:t>
      </w:r>
      <w:r w:rsidRPr="002646AD">
        <w:rPr>
          <w:rFonts w:ascii="Verdana" w:hAnsi="Verdana"/>
          <w:sz w:val="20"/>
        </w:rPr>
        <w:softHyphen/>
        <w:t xml:space="preserve">skrevet. Det mest anbefalte medikament for WM har vært </w:t>
      </w:r>
      <w:proofErr w:type="spellStart"/>
      <w:r w:rsidRPr="002646AD">
        <w:rPr>
          <w:rFonts w:ascii="Verdana" w:hAnsi="Verdana"/>
          <w:sz w:val="20"/>
        </w:rPr>
        <w:t>Leustatin</w:t>
      </w:r>
      <w:proofErr w:type="spellEnd"/>
      <w:r w:rsidRPr="002646AD">
        <w:rPr>
          <w:rFonts w:ascii="Verdana" w:hAnsi="Verdana"/>
          <w:sz w:val="20"/>
        </w:rPr>
        <w:t xml:space="preserve"> (2CdA).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En rapport på sju pasienter med </w:t>
      </w:r>
      <w:proofErr w:type="spellStart"/>
      <w:r w:rsidRPr="002646AD">
        <w:rPr>
          <w:rFonts w:ascii="Verdana" w:hAnsi="Verdana"/>
          <w:sz w:val="20"/>
        </w:rPr>
        <w:t>Waldenstrøms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makroglobu</w:t>
      </w:r>
      <w:r w:rsidRPr="002646AD">
        <w:rPr>
          <w:rFonts w:ascii="Verdana" w:hAnsi="Verdana"/>
          <w:sz w:val="20"/>
        </w:rPr>
        <w:softHyphen/>
        <w:t>linemia</w:t>
      </w:r>
      <w:proofErr w:type="spellEnd"/>
      <w:r w:rsidRPr="002646AD">
        <w:rPr>
          <w:rFonts w:ascii="Verdana" w:hAnsi="Verdana"/>
          <w:sz w:val="20"/>
        </w:rPr>
        <w:t xml:space="preserve"> hvor pasientene ble behandlet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(375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ukentlig ganger 4) (15) merket reaksjoner i 4(</w:t>
      </w:r>
      <w:proofErr w:type="gramStart"/>
      <w:r w:rsidRPr="002646AD">
        <w:rPr>
          <w:rFonts w:ascii="Verdana" w:hAnsi="Verdana"/>
          <w:sz w:val="20"/>
        </w:rPr>
        <w:t>57%</w:t>
      </w:r>
      <w:proofErr w:type="gramEnd"/>
      <w:r w:rsidRPr="002646AD">
        <w:rPr>
          <w:rFonts w:ascii="Verdana" w:hAnsi="Verdana"/>
          <w:sz w:val="20"/>
        </w:rPr>
        <w:t xml:space="preserve">) pasienter. Midlere progresjonsfri overlevelse var 8 måneder (område 3-27+ måneder). Således bør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være anven</w:t>
      </w:r>
      <w:r w:rsidRPr="002646AD">
        <w:rPr>
          <w:rFonts w:ascii="Verdana" w:hAnsi="Verdana"/>
          <w:sz w:val="20"/>
        </w:rPr>
        <w:softHyphen/>
        <w:t>delig i kombinerte terapeutiske behandlinger, spesielt kjemoterapeutiske reagenser så som 2CdA.</w:t>
      </w:r>
    </w:p>
    <w:p w:rsidR="001003C4" w:rsidRPr="002646AD" w:rsidRDefault="001003C4">
      <w:pPr>
        <w:pStyle w:val="Overskrift1"/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Kronisk </w:t>
      </w:r>
      <w:proofErr w:type="spellStart"/>
      <w:r w:rsidRPr="002646AD">
        <w:rPr>
          <w:rFonts w:ascii="Verdana" w:hAnsi="Verdana"/>
          <w:sz w:val="20"/>
        </w:rPr>
        <w:t>lymfocytisk</w:t>
      </w:r>
      <w:proofErr w:type="spellEnd"/>
      <w:r w:rsidRPr="002646AD">
        <w:rPr>
          <w:rFonts w:ascii="Verdana" w:hAnsi="Verdana"/>
          <w:sz w:val="20"/>
        </w:rPr>
        <w:t xml:space="preserve"> leukemi (CLL)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CLL er den flytende (leukemiske) ekvivalent av små </w:t>
      </w:r>
      <w:proofErr w:type="spellStart"/>
      <w:r w:rsidRPr="002646AD">
        <w:rPr>
          <w:rFonts w:ascii="Verdana" w:hAnsi="Verdana"/>
          <w:sz w:val="20"/>
        </w:rPr>
        <w:t>lymfo</w:t>
      </w:r>
      <w:r w:rsidRPr="002646AD">
        <w:rPr>
          <w:rFonts w:ascii="Verdana" w:hAnsi="Verdana"/>
          <w:sz w:val="20"/>
        </w:rPr>
        <w:softHyphen/>
        <w:t>cytisk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(SLL). Pasienter med SLL hadde lavere serum</w:t>
      </w:r>
      <w:r w:rsidRPr="002646AD">
        <w:rPr>
          <w:rFonts w:ascii="Verdana" w:hAnsi="Verdana"/>
          <w:sz w:val="20"/>
        </w:rPr>
        <w:softHyphen/>
        <w:t xml:space="preserve">nivå og en lavere reaksjonsgrad når behandlet med standard dosen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enn pasienter med andre lavgrads NHL-</w:t>
      </w:r>
      <w:proofErr w:type="spellStart"/>
      <w:r w:rsidRPr="002646AD">
        <w:rPr>
          <w:rFonts w:ascii="Verdana" w:hAnsi="Verdana"/>
          <w:sz w:val="20"/>
        </w:rPr>
        <w:t>subtyper</w:t>
      </w:r>
      <w:proofErr w:type="spellEnd"/>
      <w:r w:rsidRPr="002646AD">
        <w:rPr>
          <w:rFonts w:ascii="Verdana" w:hAnsi="Verdana"/>
          <w:sz w:val="20"/>
        </w:rPr>
        <w:t xml:space="preserve">. Dette er trolig grunnet de meget høye nivåer av sirkulerende </w:t>
      </w:r>
      <w:r w:rsidRPr="002646AD">
        <w:rPr>
          <w:rFonts w:ascii="Verdana" w:hAnsi="Verdana"/>
          <w:sz w:val="20"/>
        </w:rPr>
        <w:lastRenderedPageBreak/>
        <w:t>tumorceller i pasienter med CLL, og fordi ondartede celler involvert i CLL er antatt å ha reduserte ekspresjonsnivåer av CD20 på celleoverflaten.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Ikke desto mindre så har foreliggende oppfinnere oppdaget at hematologiske sykdommer så som CCL kan bli behandlet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. Et nylig klinisk studium vurderte behandling av CLL-pasienter ved høye doser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(16). Alle pasienter mottar en første dose på 375 mg/m</w:t>
      </w:r>
      <w:r w:rsidRPr="002646AD">
        <w:rPr>
          <w:rFonts w:ascii="Verdana" w:hAnsi="Verdana"/>
          <w:sz w:val="20"/>
          <w:vertAlign w:val="superscript"/>
        </w:rPr>
        <w:t>3</w:t>
      </w:r>
      <w:r w:rsidRPr="002646AD">
        <w:rPr>
          <w:rFonts w:ascii="Verdana" w:hAnsi="Verdana"/>
          <w:sz w:val="20"/>
        </w:rPr>
        <w:t xml:space="preserve"> for å mini</w:t>
      </w:r>
      <w:r w:rsidRPr="002646AD">
        <w:rPr>
          <w:rFonts w:ascii="Verdana" w:hAnsi="Verdana"/>
          <w:sz w:val="20"/>
        </w:rPr>
        <w:softHyphen/>
        <w:t>malisere infusjons-forverrede bieffekter. Etterfølgende ukentlige doser (3) for</w:t>
      </w:r>
      <w:r w:rsidR="009E4E73">
        <w:rPr>
          <w:rFonts w:ascii="Verdana" w:hAnsi="Verdana"/>
          <w:sz w:val="20"/>
        </w:rPr>
        <w:t>ble de samme men ble gitt ved et</w:t>
      </w:r>
      <w:r w:rsidRPr="002646AD">
        <w:rPr>
          <w:rFonts w:ascii="Verdana" w:hAnsi="Verdana"/>
          <w:sz w:val="20"/>
        </w:rPr>
        <w:t xml:space="preserve"> øket dosenivå. Seksten pasienter har blitt behandlet ved doser på 500-1.500 mg/m</w:t>
      </w:r>
      <w:r w:rsidRPr="002646AD">
        <w:rPr>
          <w:rFonts w:ascii="Verdana" w:hAnsi="Verdana"/>
          <w:sz w:val="20"/>
          <w:vertAlign w:val="superscript"/>
        </w:rPr>
        <w:t>3</w:t>
      </w:r>
      <w:r w:rsidRPr="002646AD">
        <w:rPr>
          <w:rFonts w:ascii="Verdana" w:hAnsi="Verdana"/>
          <w:sz w:val="20"/>
        </w:rPr>
        <w:t xml:space="preserve">. </w:t>
      </w:r>
      <w:proofErr w:type="spellStart"/>
      <w:r w:rsidRPr="002646AD">
        <w:rPr>
          <w:rFonts w:ascii="Verdana" w:hAnsi="Verdana"/>
          <w:sz w:val="20"/>
        </w:rPr>
        <w:t>Middelsalder</w:t>
      </w:r>
      <w:proofErr w:type="spellEnd"/>
      <w:r w:rsidR="009E4E73">
        <w:rPr>
          <w:rFonts w:ascii="Verdana" w:hAnsi="Verdana"/>
          <w:sz w:val="20"/>
        </w:rPr>
        <w:t xml:space="preserve"> var 66 år (område, 25-78). Åtti</w:t>
      </w:r>
      <w:r w:rsidRPr="002646AD">
        <w:rPr>
          <w:rFonts w:ascii="Verdana" w:hAnsi="Verdana"/>
          <w:sz w:val="20"/>
        </w:rPr>
        <w:t xml:space="preserve">-en prosent hadde sluttstudium III-IV-sykdom. </w:t>
      </w:r>
      <w:proofErr w:type="spellStart"/>
      <w:r w:rsidRPr="002646AD">
        <w:rPr>
          <w:rFonts w:ascii="Verdana" w:hAnsi="Verdana"/>
          <w:sz w:val="20"/>
        </w:rPr>
        <w:t>Middelstall</w:t>
      </w:r>
      <w:proofErr w:type="spellEnd"/>
      <w:r w:rsidRPr="002646AD">
        <w:rPr>
          <w:rFonts w:ascii="Verdana" w:hAnsi="Verdana"/>
          <w:sz w:val="20"/>
        </w:rPr>
        <w:t xml:space="preserve"> av hvite blodceller var 40 x 10</w:t>
      </w:r>
      <w:r w:rsidRPr="002646AD">
        <w:rPr>
          <w:rFonts w:ascii="Verdana" w:hAnsi="Verdana"/>
          <w:sz w:val="20"/>
          <w:vertAlign w:val="superscript"/>
        </w:rPr>
        <w:t>9</w:t>
      </w:r>
      <w:r w:rsidRPr="002646AD">
        <w:rPr>
          <w:rFonts w:ascii="Verdana" w:hAnsi="Verdana"/>
          <w:sz w:val="20"/>
        </w:rPr>
        <w:t xml:space="preserve">/l (område, 4-200), </w:t>
      </w:r>
      <w:proofErr w:type="spellStart"/>
      <w:r w:rsidRPr="002646AD">
        <w:rPr>
          <w:rFonts w:ascii="Verdana" w:hAnsi="Verdana"/>
          <w:sz w:val="20"/>
        </w:rPr>
        <w:t>Hgb</w:t>
      </w:r>
      <w:proofErr w:type="spellEnd"/>
      <w:r w:rsidRPr="002646AD">
        <w:rPr>
          <w:rFonts w:ascii="Verdana" w:hAnsi="Verdana"/>
          <w:sz w:val="20"/>
        </w:rPr>
        <w:t xml:space="preserve"> 11,6 g/dl (område, 7,7-14,7), blodplater 75 x 10</w:t>
      </w:r>
      <w:r w:rsidRPr="002646AD">
        <w:rPr>
          <w:rFonts w:ascii="Verdana" w:hAnsi="Verdana"/>
          <w:sz w:val="20"/>
          <w:vertAlign w:val="superscript"/>
        </w:rPr>
        <w:t>9</w:t>
      </w:r>
      <w:r w:rsidRPr="002646AD">
        <w:rPr>
          <w:rFonts w:ascii="Verdana" w:hAnsi="Verdana"/>
          <w:sz w:val="20"/>
        </w:rPr>
        <w:t xml:space="preserve">/l (område 16-160), midlere </w:t>
      </w:r>
      <w:r w:rsidRPr="002646AD">
        <w:rPr>
          <w:rFonts w:ascii="Verdana" w:hAnsi="Verdana"/>
          <w:sz w:val="20"/>
        </w:rPr>
        <w:sym w:font="Symbol" w:char="F062"/>
      </w:r>
      <w:r w:rsidRPr="002646AD">
        <w:rPr>
          <w:rFonts w:ascii="Verdana" w:hAnsi="Verdana"/>
          <w:sz w:val="20"/>
          <w:vertAlign w:val="subscript"/>
        </w:rPr>
        <w:t>2</w:t>
      </w:r>
      <w:r w:rsidRPr="002646AD">
        <w:rPr>
          <w:rFonts w:ascii="Verdana" w:hAnsi="Verdana"/>
          <w:sz w:val="20"/>
        </w:rPr>
        <w:t>-immunoglobulin var 4,5 mg/l (område, 3,1-9,2). Midlere antall tidligere be</w:t>
      </w:r>
      <w:r w:rsidRPr="002646AD">
        <w:rPr>
          <w:rFonts w:ascii="Verdana" w:hAnsi="Verdana"/>
          <w:sz w:val="20"/>
        </w:rPr>
        <w:softHyphen/>
        <w:t xml:space="preserve">handlinger var 2,5 (område 1-9). Seksti prosent pasienter var </w:t>
      </w:r>
      <w:proofErr w:type="spellStart"/>
      <w:r w:rsidRPr="002646AD">
        <w:rPr>
          <w:rFonts w:ascii="Verdana" w:hAnsi="Verdana"/>
          <w:sz w:val="20"/>
        </w:rPr>
        <w:t>refraktoriske</w:t>
      </w:r>
      <w:proofErr w:type="spellEnd"/>
      <w:r w:rsidRPr="002646AD">
        <w:rPr>
          <w:rFonts w:ascii="Verdana" w:hAnsi="Verdana"/>
          <w:sz w:val="20"/>
        </w:rPr>
        <w:t xml:space="preserve"> til behandling. To pasienter utviklet alvorlig hypertensjon med første dose (375 mg/m</w:t>
      </w:r>
      <w:r w:rsidRPr="002646AD">
        <w:rPr>
          <w:rFonts w:ascii="Verdana" w:hAnsi="Verdana"/>
          <w:sz w:val="20"/>
          <w:vertAlign w:val="superscript"/>
        </w:rPr>
        <w:t>3</w:t>
      </w:r>
      <w:r w:rsidRPr="002646AD">
        <w:rPr>
          <w:rFonts w:ascii="Verdana" w:hAnsi="Verdana"/>
          <w:sz w:val="20"/>
        </w:rPr>
        <w:t xml:space="preserve">); en annen mottok ytterligere behandling. Toksisitet ved etterfølgende økede doser har vært mild selv om </w:t>
      </w:r>
      <w:proofErr w:type="gramStart"/>
      <w:r w:rsidRPr="002646AD">
        <w:rPr>
          <w:rFonts w:ascii="Verdana" w:hAnsi="Verdana"/>
          <w:sz w:val="20"/>
        </w:rPr>
        <w:t>ingen</w:t>
      </w:r>
      <w:proofErr w:type="gramEnd"/>
      <w:r w:rsidRPr="002646AD">
        <w:rPr>
          <w:rFonts w:ascii="Verdana" w:hAnsi="Verdana"/>
          <w:sz w:val="20"/>
        </w:rPr>
        <w:t xml:space="preserve"> pasienter ved 1.500 mg/m</w:t>
      </w:r>
      <w:r w:rsidRPr="002646AD">
        <w:rPr>
          <w:rFonts w:ascii="Verdana" w:hAnsi="Verdana"/>
          <w:sz w:val="20"/>
          <w:vertAlign w:val="superscript"/>
        </w:rPr>
        <w:t>3</w:t>
      </w:r>
      <w:r w:rsidRPr="002646AD">
        <w:rPr>
          <w:rFonts w:ascii="Verdana" w:hAnsi="Verdana"/>
          <w:sz w:val="20"/>
        </w:rPr>
        <w:t xml:space="preserve"> dosenivå har blitt fullstendig vurdert. Åtte pasienter har avsluttet behandling (4 ved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>, 3 ved 650 mg/m</w:t>
      </w:r>
      <w:r w:rsidRPr="002646AD">
        <w:rPr>
          <w:rFonts w:ascii="Verdana" w:hAnsi="Verdana"/>
          <w:sz w:val="20"/>
          <w:vertAlign w:val="superscript"/>
        </w:rPr>
        <w:t>3</w:t>
      </w:r>
      <w:r w:rsidRPr="002646AD">
        <w:rPr>
          <w:rFonts w:ascii="Verdana" w:hAnsi="Verdana"/>
          <w:sz w:val="20"/>
        </w:rPr>
        <w:t>, 1 ved 825 mg/m</w:t>
      </w:r>
      <w:r w:rsidRPr="002646AD">
        <w:rPr>
          <w:rFonts w:ascii="Verdana" w:hAnsi="Verdana"/>
          <w:sz w:val="20"/>
          <w:vertAlign w:val="superscript"/>
        </w:rPr>
        <w:t>3</w:t>
      </w:r>
      <w:r w:rsidRPr="002646AD">
        <w:rPr>
          <w:rFonts w:ascii="Verdana" w:hAnsi="Verdana"/>
          <w:sz w:val="20"/>
        </w:rPr>
        <w:t>). En pasient behandlet ved 560 mg/m</w:t>
      </w:r>
      <w:r w:rsidRPr="002646AD">
        <w:rPr>
          <w:rFonts w:ascii="Verdana" w:hAnsi="Verdana"/>
          <w:sz w:val="20"/>
          <w:vertAlign w:val="superscript"/>
        </w:rPr>
        <w:t>3</w:t>
      </w:r>
      <w:r w:rsidRPr="002646AD">
        <w:rPr>
          <w:rFonts w:ascii="Verdana" w:hAnsi="Verdana"/>
          <w:sz w:val="20"/>
        </w:rPr>
        <w:t xml:space="preserve"> oppnådde full remisjon. En pasient har progressiv </w:t>
      </w:r>
      <w:proofErr w:type="spellStart"/>
      <w:r w:rsidRPr="002646AD">
        <w:rPr>
          <w:rFonts w:ascii="Verdana" w:hAnsi="Verdana"/>
          <w:sz w:val="20"/>
        </w:rPr>
        <w:t>lymfocytose</w:t>
      </w:r>
      <w:proofErr w:type="spellEnd"/>
      <w:r w:rsidRPr="002646AD">
        <w:rPr>
          <w:rFonts w:ascii="Verdana" w:hAnsi="Verdana"/>
          <w:sz w:val="20"/>
        </w:rPr>
        <w:t xml:space="preserve"> ved behandling og alle andre pasienter hadde reduksjon i perifer blod </w:t>
      </w:r>
      <w:proofErr w:type="spellStart"/>
      <w:r w:rsidRPr="002646AD">
        <w:rPr>
          <w:rFonts w:ascii="Verdana" w:hAnsi="Verdana"/>
          <w:sz w:val="20"/>
        </w:rPr>
        <w:t>lymfocytose</w:t>
      </w:r>
      <w:proofErr w:type="spellEnd"/>
      <w:r w:rsidRPr="002646AD">
        <w:rPr>
          <w:rFonts w:ascii="Verdana" w:hAnsi="Verdana"/>
          <w:sz w:val="20"/>
        </w:rPr>
        <w:t xml:space="preserve"> men mindre effekt på lymfeknuter. Doseøkningsstudier pågår.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En annen metode å forbedre respons i CLL-pasienter er å oppregulere de CD20-antigen</w:t>
      </w:r>
      <w:r w:rsidR="009E4E73">
        <w:rPr>
          <w:rFonts w:ascii="Verdana" w:hAnsi="Verdana"/>
          <w:sz w:val="20"/>
        </w:rPr>
        <w:t>-</w:t>
      </w:r>
      <w:r w:rsidRPr="002646AD">
        <w:rPr>
          <w:rFonts w:ascii="Verdana" w:hAnsi="Verdana"/>
          <w:sz w:val="20"/>
        </w:rPr>
        <w:t xml:space="preserve">brukende cytokiner. I et </w:t>
      </w:r>
      <w:r w:rsidRPr="002646AD">
        <w:rPr>
          <w:rFonts w:ascii="Verdana" w:hAnsi="Verdana"/>
          <w:i/>
          <w:sz w:val="20"/>
        </w:rPr>
        <w:t xml:space="preserve">in </w:t>
      </w:r>
      <w:proofErr w:type="spellStart"/>
      <w:r w:rsidRPr="002646AD">
        <w:rPr>
          <w:rFonts w:ascii="Verdana" w:hAnsi="Verdana"/>
          <w:i/>
          <w:sz w:val="20"/>
        </w:rPr>
        <w:t>vitro</w:t>
      </w:r>
      <w:proofErr w:type="spellEnd"/>
      <w:r w:rsidRPr="002646AD">
        <w:rPr>
          <w:rFonts w:ascii="Verdana" w:hAnsi="Verdana"/>
          <w:sz w:val="20"/>
        </w:rPr>
        <w:t xml:space="preserve">-studium ble mononukleære celler fra CLL-pasienter </w:t>
      </w:r>
      <w:proofErr w:type="spellStart"/>
      <w:r w:rsidRPr="002646AD">
        <w:rPr>
          <w:rFonts w:ascii="Verdana" w:hAnsi="Verdana"/>
          <w:sz w:val="20"/>
        </w:rPr>
        <w:t>inkubert</w:t>
      </w:r>
      <w:proofErr w:type="spellEnd"/>
      <w:r w:rsidRPr="002646AD">
        <w:rPr>
          <w:rFonts w:ascii="Verdana" w:hAnsi="Verdana"/>
          <w:sz w:val="20"/>
        </w:rPr>
        <w:t xml:space="preserve"> i 24 timer med forskjellige cytokiner. </w:t>
      </w:r>
      <w:proofErr w:type="spellStart"/>
      <w:r w:rsidRPr="002646AD">
        <w:rPr>
          <w:rFonts w:ascii="Verdana" w:hAnsi="Verdana"/>
          <w:sz w:val="20"/>
        </w:rPr>
        <w:t>Strømnings</w:t>
      </w:r>
      <w:r w:rsidRPr="002646AD">
        <w:rPr>
          <w:rFonts w:ascii="Verdana" w:hAnsi="Verdana"/>
          <w:sz w:val="20"/>
        </w:rPr>
        <w:softHyphen/>
        <w:t>cytometri-resultater</w:t>
      </w:r>
      <w:proofErr w:type="spellEnd"/>
      <w:r w:rsidRPr="002646AD">
        <w:rPr>
          <w:rFonts w:ascii="Verdana" w:hAnsi="Verdana"/>
          <w:sz w:val="20"/>
        </w:rPr>
        <w:t xml:space="preserve"> viste vesentlig oppregulering med IL-4, GM-CSF, og TNF-alfa (17). Faktisk antyder nylig data at oppreguleringen av CD20 observert på CLL-celler kan være begrenset til tumorceller (</w:t>
      </w:r>
      <w:proofErr w:type="spellStart"/>
      <w:r w:rsidRPr="002646AD">
        <w:rPr>
          <w:rFonts w:ascii="Verdana" w:hAnsi="Verdana"/>
          <w:sz w:val="20"/>
        </w:rPr>
        <w:t>Venogopal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al. Poster – </w:t>
      </w:r>
      <w:proofErr w:type="spellStart"/>
      <w:r w:rsidRPr="002646AD">
        <w:rPr>
          <w:rFonts w:ascii="Verdana" w:hAnsi="Verdana"/>
          <w:sz w:val="20"/>
        </w:rPr>
        <w:t>PanPacific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Lymphoma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meeting</w:t>
      </w:r>
      <w:proofErr w:type="spellEnd"/>
      <w:r w:rsidRPr="002646AD">
        <w:rPr>
          <w:rFonts w:ascii="Verdana" w:hAnsi="Verdana"/>
          <w:sz w:val="20"/>
        </w:rPr>
        <w:t xml:space="preserve">, juni 1999. Cytokin-indusert oppregulering av CD20-antigenekspresjon i kroniske </w:t>
      </w:r>
      <w:proofErr w:type="spellStart"/>
      <w:r w:rsidRPr="002646AD">
        <w:rPr>
          <w:rFonts w:ascii="Verdana" w:hAnsi="Verdana"/>
          <w:sz w:val="20"/>
        </w:rPr>
        <w:t>lymfo</w:t>
      </w:r>
      <w:r w:rsidRPr="002646AD">
        <w:rPr>
          <w:rFonts w:ascii="Verdana" w:hAnsi="Verdana"/>
          <w:sz w:val="20"/>
        </w:rPr>
        <w:softHyphen/>
        <w:t>cytiske</w:t>
      </w:r>
      <w:proofErr w:type="spellEnd"/>
      <w:r w:rsidRPr="002646AD">
        <w:rPr>
          <w:rFonts w:ascii="Verdana" w:hAnsi="Verdana"/>
          <w:sz w:val="20"/>
        </w:rPr>
        <w:t xml:space="preserve"> leukemi (CLL) celler kan være begrenset til tumor</w:t>
      </w:r>
      <w:r w:rsidRPr="002646AD">
        <w:rPr>
          <w:rFonts w:ascii="Verdana" w:hAnsi="Verdana"/>
          <w:sz w:val="20"/>
        </w:rPr>
        <w:softHyphen/>
        <w:t>celler). Preliminær</w:t>
      </w:r>
      <w:r w:rsidR="009E4E73">
        <w:rPr>
          <w:rFonts w:ascii="Verdana" w:hAnsi="Verdana"/>
          <w:sz w:val="20"/>
        </w:rPr>
        <w:t>e</w:t>
      </w:r>
      <w:r w:rsidRPr="002646AD">
        <w:rPr>
          <w:rFonts w:ascii="Verdana" w:hAnsi="Verdana"/>
          <w:sz w:val="20"/>
        </w:rPr>
        <w:t xml:space="preserve"> data antyder også at interferon-alfa også oppregulerer CD20 på CLL-celler etter kun 24 timer når tilført ved en konsentrasjon på 500 til 1.000 U/ml.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Således ved å administrere visse cytokiner til CLL-pasienter før eller samtidig med administrasjon av </w:t>
      </w:r>
      <w:proofErr w:type="spellStart"/>
      <w:r w:rsidRPr="002646AD">
        <w:rPr>
          <w:rFonts w:ascii="Verdana" w:hAnsi="Verdana"/>
          <w:sz w:val="20"/>
        </w:rPr>
        <w:t>Rituxi</w:t>
      </w:r>
      <w:r w:rsidRPr="002646AD">
        <w:rPr>
          <w:rFonts w:ascii="Verdana" w:hAnsi="Verdana"/>
          <w:sz w:val="20"/>
        </w:rPr>
        <w:softHyphen/>
        <w:t>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, kan ekspresjonen av CD20 på overflaten av ondartede B-celler bli oppregulert, for derved å gjøre CD20, så vel som ander celleoverflatemarkører så som CD19, et mer attraktivt mål for </w:t>
      </w:r>
      <w:proofErr w:type="spellStart"/>
      <w:r w:rsidRPr="002646AD">
        <w:rPr>
          <w:rFonts w:ascii="Verdana" w:hAnsi="Verdana"/>
          <w:sz w:val="20"/>
        </w:rPr>
        <w:t>immunoterapi</w:t>
      </w:r>
      <w:proofErr w:type="spellEnd"/>
      <w:r w:rsidRPr="002646AD">
        <w:rPr>
          <w:rFonts w:ascii="Verdana" w:hAnsi="Verdana"/>
          <w:sz w:val="20"/>
        </w:rPr>
        <w:t xml:space="preserve">. Et </w:t>
      </w:r>
      <w:r w:rsidRPr="002646AD">
        <w:rPr>
          <w:rFonts w:ascii="Verdana" w:hAnsi="Verdana"/>
          <w:sz w:val="20"/>
        </w:rPr>
        <w:lastRenderedPageBreak/>
        <w:t xml:space="preserve">støttende studium har blitt satt i gang for å undersøke for optimale </w:t>
      </w:r>
      <w:proofErr w:type="spellStart"/>
      <w:r w:rsidRPr="002646AD">
        <w:rPr>
          <w:rFonts w:ascii="Verdana" w:hAnsi="Verdana"/>
          <w:sz w:val="20"/>
        </w:rPr>
        <w:t>cytokine</w:t>
      </w:r>
      <w:r w:rsidRPr="002646AD">
        <w:rPr>
          <w:rFonts w:ascii="Verdana" w:hAnsi="Verdana"/>
          <w:sz w:val="20"/>
        </w:rPr>
        <w:softHyphen/>
        <w:t>doser</w:t>
      </w:r>
      <w:proofErr w:type="spellEnd"/>
      <w:r w:rsidRPr="002646AD">
        <w:rPr>
          <w:rFonts w:ascii="Verdana" w:hAnsi="Verdana"/>
          <w:sz w:val="20"/>
        </w:rPr>
        <w:t xml:space="preserve"> for CD20-oppregulering </w:t>
      </w:r>
      <w:r w:rsidRPr="002646AD">
        <w:rPr>
          <w:rFonts w:ascii="Verdana" w:hAnsi="Verdana"/>
          <w:i/>
          <w:sz w:val="20"/>
        </w:rPr>
        <w:t>in vivo</w:t>
      </w:r>
      <w:r w:rsidRPr="002646AD">
        <w:rPr>
          <w:rFonts w:ascii="Verdana" w:hAnsi="Verdana"/>
          <w:sz w:val="20"/>
        </w:rPr>
        <w:t>. Studieprotokol</w:t>
      </w:r>
      <w:r w:rsidR="00AF385E">
        <w:rPr>
          <w:rFonts w:ascii="Verdana" w:hAnsi="Verdana"/>
          <w:sz w:val="20"/>
        </w:rPr>
        <w:t>l</w:t>
      </w:r>
      <w:r w:rsidRPr="002646AD">
        <w:rPr>
          <w:rFonts w:ascii="Verdana" w:hAnsi="Verdana"/>
          <w:sz w:val="20"/>
        </w:rPr>
        <w:t xml:space="preserve">en involverer å behandle ti pasienter initialt med GM-CSF ved 250 </w:t>
      </w:r>
      <w:proofErr w:type="spellStart"/>
      <w:r w:rsidRPr="002646AD">
        <w:rPr>
          <w:rFonts w:ascii="Verdana" w:hAnsi="Verdana"/>
          <w:sz w:val="20"/>
        </w:rPr>
        <w:t>mcg</w:t>
      </w:r>
      <w:proofErr w:type="spellEnd"/>
      <w:r w:rsidRPr="002646AD">
        <w:rPr>
          <w:rFonts w:ascii="Verdana" w:hAnsi="Verdana"/>
          <w:sz w:val="20"/>
        </w:rPr>
        <w:t>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SQ QD X 3, ti pasienter med IL-4 </w:t>
      </w:r>
      <w:proofErr w:type="spellStart"/>
      <w:r w:rsidRPr="002646AD">
        <w:rPr>
          <w:rFonts w:ascii="Verdana" w:hAnsi="Verdana"/>
          <w:sz w:val="20"/>
        </w:rPr>
        <w:t>mcg</w:t>
      </w:r>
      <w:proofErr w:type="spellEnd"/>
      <w:r w:rsidRPr="002646AD">
        <w:rPr>
          <w:rFonts w:ascii="Verdana" w:hAnsi="Verdana"/>
          <w:sz w:val="20"/>
        </w:rPr>
        <w:t xml:space="preserve">/kg SQ QD X 3, og ti pasienter med G-CSF ved 5 </w:t>
      </w:r>
      <w:proofErr w:type="spellStart"/>
      <w:r w:rsidRPr="002646AD">
        <w:rPr>
          <w:rFonts w:ascii="Verdana" w:hAnsi="Verdana"/>
          <w:sz w:val="20"/>
        </w:rPr>
        <w:t>mcg</w:t>
      </w:r>
      <w:proofErr w:type="spellEnd"/>
      <w:r w:rsidRPr="002646AD">
        <w:rPr>
          <w:rFonts w:ascii="Verdana" w:hAnsi="Verdana"/>
          <w:sz w:val="20"/>
        </w:rPr>
        <w:t xml:space="preserve">/kg SQ QD X 3. </w:t>
      </w:r>
      <w:proofErr w:type="spellStart"/>
      <w:r w:rsidRPr="002646AD">
        <w:rPr>
          <w:rFonts w:ascii="Verdana" w:hAnsi="Verdana"/>
          <w:sz w:val="20"/>
        </w:rPr>
        <w:t>Mono</w:t>
      </w:r>
      <w:r w:rsidRPr="002646AD">
        <w:rPr>
          <w:rFonts w:ascii="Verdana" w:hAnsi="Verdana"/>
          <w:sz w:val="20"/>
        </w:rPr>
        <w:softHyphen/>
        <w:t>nukleære</w:t>
      </w:r>
      <w:proofErr w:type="spellEnd"/>
      <w:r w:rsidRPr="002646AD">
        <w:rPr>
          <w:rFonts w:ascii="Verdana" w:hAnsi="Verdana"/>
          <w:sz w:val="20"/>
        </w:rPr>
        <w:t xml:space="preserve"> celler vil bli separert ved </w:t>
      </w:r>
      <w:proofErr w:type="spellStart"/>
      <w:r w:rsidRPr="002646AD">
        <w:rPr>
          <w:rFonts w:ascii="Verdana" w:hAnsi="Verdana"/>
          <w:sz w:val="20"/>
        </w:rPr>
        <w:t>Ficon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Hypaque</w:t>
      </w:r>
      <w:proofErr w:type="spellEnd"/>
      <w:r w:rsidRPr="002646AD">
        <w:rPr>
          <w:rFonts w:ascii="Verdana" w:hAnsi="Verdana"/>
          <w:sz w:val="20"/>
        </w:rPr>
        <w:t>-sentri</w:t>
      </w:r>
      <w:r w:rsidRPr="002646AD">
        <w:rPr>
          <w:rFonts w:ascii="Verdana" w:hAnsi="Verdana"/>
          <w:sz w:val="20"/>
        </w:rPr>
        <w:softHyphen/>
        <w:t xml:space="preserve">fugering for </w:t>
      </w:r>
      <w:proofErr w:type="spellStart"/>
      <w:r w:rsidRPr="002646AD">
        <w:rPr>
          <w:rFonts w:ascii="Verdana" w:hAnsi="Verdana"/>
          <w:sz w:val="20"/>
        </w:rPr>
        <w:t>apoptotiske</w:t>
      </w:r>
      <w:proofErr w:type="spellEnd"/>
      <w:r w:rsidRPr="002646AD">
        <w:rPr>
          <w:rFonts w:ascii="Verdana" w:hAnsi="Verdana"/>
          <w:sz w:val="20"/>
        </w:rPr>
        <w:t xml:space="preserve"> studier for å bestemme om oppre</w:t>
      </w:r>
      <w:r w:rsidRPr="002646AD">
        <w:rPr>
          <w:rFonts w:ascii="Verdana" w:hAnsi="Verdana"/>
          <w:sz w:val="20"/>
        </w:rPr>
        <w:softHyphen/>
        <w:t xml:space="preserve">gulering av CD20 fører til økede avlivning av tumorceller ved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>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Antistoff-behandling av CLL kan bli kombinert med andre konvensjonelle kjemoterapeutiske behandlinger som er kjent for å være anvendelige til behandlingen av CLL. De hyppig</w:t>
      </w:r>
      <w:r w:rsidRPr="002646AD">
        <w:rPr>
          <w:rFonts w:ascii="Verdana" w:hAnsi="Verdana"/>
          <w:sz w:val="20"/>
        </w:rPr>
        <w:softHyphen/>
        <w:t xml:space="preserve">ste benyttede enkle midler for CLL er </w:t>
      </w:r>
      <w:proofErr w:type="spellStart"/>
      <w:r w:rsidRPr="002646AD">
        <w:rPr>
          <w:rFonts w:ascii="Verdana" w:hAnsi="Verdana"/>
          <w:sz w:val="20"/>
        </w:rPr>
        <w:t>klorambucil</w:t>
      </w:r>
      <w:proofErr w:type="spellEnd"/>
      <w:r w:rsidRPr="002646AD">
        <w:rPr>
          <w:rFonts w:ascii="Verdana" w:hAnsi="Verdana"/>
          <w:sz w:val="20"/>
        </w:rPr>
        <w:t xml:space="preserve"> (</w:t>
      </w:r>
      <w:proofErr w:type="spellStart"/>
      <w:r w:rsidRPr="002646AD">
        <w:rPr>
          <w:rFonts w:ascii="Verdana" w:hAnsi="Verdana"/>
          <w:sz w:val="20"/>
        </w:rPr>
        <w:t>leuke</w:t>
      </w:r>
      <w:r w:rsidRPr="002646AD">
        <w:rPr>
          <w:rFonts w:ascii="Verdana" w:hAnsi="Verdana"/>
          <w:sz w:val="20"/>
        </w:rPr>
        <w:softHyphen/>
        <w:t>ran</w:t>
      </w:r>
      <w:proofErr w:type="spellEnd"/>
      <w:r w:rsidRPr="002646AD">
        <w:rPr>
          <w:rFonts w:ascii="Verdana" w:hAnsi="Verdana"/>
          <w:sz w:val="20"/>
        </w:rPr>
        <w:t xml:space="preserve">), gitt enten som 0,1 mg/kg daglig eller 0,4 til 1,0 mg/kg hver 4 uker. </w:t>
      </w:r>
      <w:proofErr w:type="spellStart"/>
      <w:r w:rsidRPr="002646AD">
        <w:rPr>
          <w:rFonts w:ascii="Verdana" w:hAnsi="Verdana"/>
          <w:sz w:val="20"/>
        </w:rPr>
        <w:t>Klorambucil</w:t>
      </w:r>
      <w:proofErr w:type="spellEnd"/>
      <w:r w:rsidRPr="002646AD">
        <w:rPr>
          <w:rFonts w:ascii="Verdana" w:hAnsi="Verdana"/>
          <w:sz w:val="20"/>
        </w:rPr>
        <w:t xml:space="preserve"> blir ofte kombinert med oral </w:t>
      </w:r>
      <w:proofErr w:type="spellStart"/>
      <w:r w:rsidRPr="002646AD">
        <w:rPr>
          <w:rFonts w:ascii="Verdana" w:hAnsi="Verdana"/>
          <w:sz w:val="20"/>
        </w:rPr>
        <w:t>prednison</w:t>
      </w:r>
      <w:proofErr w:type="spellEnd"/>
      <w:r w:rsidRPr="002646AD">
        <w:rPr>
          <w:rFonts w:ascii="Verdana" w:hAnsi="Verdana"/>
          <w:sz w:val="20"/>
        </w:rPr>
        <w:t xml:space="preserve"> (30 til 100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/dag), som er anvendelig ved behandling av </w:t>
      </w:r>
      <w:proofErr w:type="spellStart"/>
      <w:r w:rsidRPr="002646AD">
        <w:rPr>
          <w:rFonts w:ascii="Verdana" w:hAnsi="Verdana"/>
          <w:sz w:val="20"/>
        </w:rPr>
        <w:t>autoimmune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cytopeniaer</w:t>
      </w:r>
      <w:proofErr w:type="spellEnd"/>
      <w:r w:rsidRPr="002646AD">
        <w:rPr>
          <w:rFonts w:ascii="Verdana" w:hAnsi="Verdana"/>
          <w:sz w:val="20"/>
        </w:rPr>
        <w:t xml:space="preserve">. </w:t>
      </w:r>
      <w:proofErr w:type="spellStart"/>
      <w:r w:rsidRPr="002646AD">
        <w:rPr>
          <w:rFonts w:ascii="Verdana" w:hAnsi="Verdana"/>
          <w:sz w:val="20"/>
        </w:rPr>
        <w:t>Cyklofosfamid</w:t>
      </w:r>
      <w:proofErr w:type="spellEnd"/>
      <w:r w:rsidRPr="002646AD">
        <w:rPr>
          <w:rFonts w:ascii="Verdana" w:hAnsi="Verdana"/>
          <w:sz w:val="20"/>
        </w:rPr>
        <w:t xml:space="preserve"> er et alternativ til </w:t>
      </w:r>
      <w:proofErr w:type="spellStart"/>
      <w:r w:rsidRPr="002646AD">
        <w:rPr>
          <w:rFonts w:ascii="Verdana" w:hAnsi="Verdana"/>
          <w:sz w:val="20"/>
        </w:rPr>
        <w:t>klorambucil</w:t>
      </w:r>
      <w:proofErr w:type="spellEnd"/>
      <w:r w:rsidRPr="002646AD">
        <w:rPr>
          <w:rFonts w:ascii="Verdana" w:hAnsi="Verdana"/>
          <w:sz w:val="20"/>
        </w:rPr>
        <w:t>, hvor den vanlige dose er 1-2 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hver 3-4 uker sammen med </w:t>
      </w:r>
      <w:proofErr w:type="spellStart"/>
      <w:r w:rsidRPr="002646AD">
        <w:rPr>
          <w:rFonts w:ascii="Verdana" w:hAnsi="Verdana"/>
          <w:sz w:val="20"/>
        </w:rPr>
        <w:t>vinkristin</w:t>
      </w:r>
      <w:proofErr w:type="spellEnd"/>
      <w:r w:rsidRPr="002646AD">
        <w:rPr>
          <w:rFonts w:ascii="Verdana" w:hAnsi="Verdana"/>
          <w:sz w:val="20"/>
        </w:rPr>
        <w:t xml:space="preserve"> og steroider (for eksempel COP-regime).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Forskjellige medikament-kombinasjoner har blitt brukt for CLL, innbefattende COP (</w:t>
      </w:r>
      <w:proofErr w:type="spellStart"/>
      <w:r w:rsidRPr="002646AD">
        <w:rPr>
          <w:rFonts w:ascii="Verdana" w:hAnsi="Verdana"/>
          <w:sz w:val="20"/>
        </w:rPr>
        <w:t>cyklofosfamid</w:t>
      </w:r>
      <w:proofErr w:type="spellEnd"/>
      <w:r w:rsidRPr="002646AD">
        <w:rPr>
          <w:rFonts w:ascii="Verdana" w:hAnsi="Verdana"/>
          <w:sz w:val="20"/>
        </w:rPr>
        <w:t xml:space="preserve">, </w:t>
      </w:r>
      <w:proofErr w:type="spellStart"/>
      <w:r w:rsidRPr="002646AD">
        <w:rPr>
          <w:rFonts w:ascii="Verdana" w:hAnsi="Verdana"/>
          <w:sz w:val="20"/>
        </w:rPr>
        <w:t>Oncovin</w:t>
      </w:r>
      <w:proofErr w:type="spellEnd"/>
      <w:r w:rsidRPr="002646AD">
        <w:rPr>
          <w:rFonts w:ascii="Verdana" w:hAnsi="Verdana"/>
          <w:sz w:val="20"/>
        </w:rPr>
        <w:t xml:space="preserve">, og </w:t>
      </w:r>
      <w:proofErr w:type="spellStart"/>
      <w:r w:rsidRPr="002646AD">
        <w:rPr>
          <w:rFonts w:ascii="Verdana" w:hAnsi="Verdana"/>
          <w:sz w:val="20"/>
        </w:rPr>
        <w:t>predni</w:t>
      </w:r>
      <w:r w:rsidRPr="002646AD">
        <w:rPr>
          <w:rFonts w:ascii="Verdana" w:hAnsi="Verdana"/>
          <w:sz w:val="20"/>
        </w:rPr>
        <w:softHyphen/>
        <w:t>son</w:t>
      </w:r>
      <w:proofErr w:type="spellEnd"/>
      <w:r w:rsidRPr="002646AD">
        <w:rPr>
          <w:rFonts w:ascii="Verdana" w:hAnsi="Verdana"/>
          <w:sz w:val="20"/>
        </w:rPr>
        <w:t xml:space="preserve">), og CHOP (disse tre medikamenter pluss </w:t>
      </w:r>
      <w:proofErr w:type="spellStart"/>
      <w:r w:rsidRPr="002646AD">
        <w:rPr>
          <w:rFonts w:ascii="Verdana" w:hAnsi="Verdana"/>
          <w:sz w:val="20"/>
        </w:rPr>
        <w:t>doxorubicin</w:t>
      </w:r>
      <w:proofErr w:type="spellEnd"/>
      <w:r w:rsidRPr="002646AD">
        <w:rPr>
          <w:rFonts w:ascii="Verdana" w:hAnsi="Verdana"/>
          <w:sz w:val="20"/>
        </w:rPr>
        <w:t xml:space="preserve">). </w:t>
      </w:r>
      <w:proofErr w:type="spellStart"/>
      <w:r w:rsidRPr="002646AD">
        <w:rPr>
          <w:rFonts w:ascii="Verdana" w:hAnsi="Verdana"/>
          <w:sz w:val="20"/>
        </w:rPr>
        <w:t>Fludarabin</w:t>
      </w:r>
      <w:proofErr w:type="spellEnd"/>
      <w:r w:rsidRPr="002646AD">
        <w:rPr>
          <w:rFonts w:ascii="Verdana" w:hAnsi="Verdana"/>
          <w:sz w:val="20"/>
        </w:rPr>
        <w:t xml:space="preserve"> har vist en effekt ved behandlingen av CLL, og ga en ORR på </w:t>
      </w:r>
      <w:proofErr w:type="gramStart"/>
      <w:r w:rsidRPr="002646AD">
        <w:rPr>
          <w:rFonts w:ascii="Verdana" w:hAnsi="Verdana"/>
          <w:sz w:val="20"/>
        </w:rPr>
        <w:t>50%</w:t>
      </w:r>
      <w:proofErr w:type="gramEnd"/>
      <w:r w:rsidRPr="002646AD">
        <w:rPr>
          <w:rFonts w:ascii="Verdana" w:hAnsi="Verdana"/>
          <w:sz w:val="20"/>
        </w:rPr>
        <w:t xml:space="preserve"> i en gruppe pasienter behandlet med 25-30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/dag hver 3-4 uker. Selv om enkelte pasienter har blitt vist å være </w:t>
      </w:r>
      <w:proofErr w:type="spellStart"/>
      <w:r w:rsidRPr="002646AD">
        <w:rPr>
          <w:rFonts w:ascii="Verdana" w:hAnsi="Verdana"/>
          <w:sz w:val="20"/>
        </w:rPr>
        <w:t>refraktoriske</w:t>
      </w:r>
      <w:proofErr w:type="spellEnd"/>
      <w:r w:rsidRPr="002646AD">
        <w:rPr>
          <w:rFonts w:ascii="Verdana" w:hAnsi="Verdana"/>
          <w:sz w:val="20"/>
        </w:rPr>
        <w:t xml:space="preserve"> for </w:t>
      </w:r>
      <w:proofErr w:type="spellStart"/>
      <w:r w:rsidRPr="002646AD">
        <w:rPr>
          <w:rFonts w:ascii="Verdana" w:hAnsi="Verdana"/>
          <w:sz w:val="20"/>
        </w:rPr>
        <w:t>fludarabin</w:t>
      </w:r>
      <w:proofErr w:type="spellEnd"/>
      <w:r w:rsidRPr="002646AD">
        <w:rPr>
          <w:rFonts w:ascii="Verdana" w:hAnsi="Verdana"/>
          <w:sz w:val="20"/>
        </w:rPr>
        <w:t xml:space="preserve">, kan slike pasienter også være resistente overfor 2-CdA fordi pasienter som er </w:t>
      </w:r>
      <w:proofErr w:type="spellStart"/>
      <w:r w:rsidRPr="002646AD">
        <w:rPr>
          <w:rFonts w:ascii="Verdana" w:hAnsi="Verdana"/>
          <w:sz w:val="20"/>
        </w:rPr>
        <w:t>refraktoriske</w:t>
      </w:r>
      <w:proofErr w:type="spellEnd"/>
      <w:r w:rsidRPr="002646AD">
        <w:rPr>
          <w:rFonts w:ascii="Verdana" w:hAnsi="Verdana"/>
          <w:sz w:val="20"/>
        </w:rPr>
        <w:t xml:space="preserve"> overfor </w:t>
      </w:r>
      <w:proofErr w:type="spellStart"/>
      <w:r w:rsidRPr="002646AD">
        <w:rPr>
          <w:rFonts w:ascii="Verdana" w:hAnsi="Verdana"/>
          <w:sz w:val="20"/>
        </w:rPr>
        <w:t>fludarabin</w:t>
      </w:r>
      <w:proofErr w:type="spellEnd"/>
      <w:r w:rsidRPr="002646AD">
        <w:rPr>
          <w:rFonts w:ascii="Verdana" w:hAnsi="Verdana"/>
          <w:sz w:val="20"/>
        </w:rPr>
        <w:t xml:space="preserve"> også er </w:t>
      </w:r>
      <w:proofErr w:type="spellStart"/>
      <w:r w:rsidRPr="002646AD">
        <w:rPr>
          <w:rFonts w:ascii="Verdana" w:hAnsi="Verdana"/>
          <w:sz w:val="20"/>
        </w:rPr>
        <w:t>refraktoriske</w:t>
      </w:r>
      <w:proofErr w:type="spellEnd"/>
      <w:r w:rsidRPr="002646AD">
        <w:rPr>
          <w:rFonts w:ascii="Verdana" w:hAnsi="Verdana"/>
          <w:sz w:val="20"/>
        </w:rPr>
        <w:t xml:space="preserve"> for 2-CDA (O’Brien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al. N. </w:t>
      </w:r>
      <w:proofErr w:type="spellStart"/>
      <w:r w:rsidRPr="002646AD">
        <w:rPr>
          <w:rFonts w:ascii="Verdana" w:hAnsi="Verdana"/>
          <w:sz w:val="20"/>
        </w:rPr>
        <w:t>Engl</w:t>
      </w:r>
      <w:proofErr w:type="spellEnd"/>
      <w:r w:rsidRPr="002646AD">
        <w:rPr>
          <w:rFonts w:ascii="Verdana" w:hAnsi="Verdana"/>
          <w:sz w:val="20"/>
        </w:rPr>
        <w:t>. J. Med. 330:319-322 (1994)).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Således vil anti-CD20-antistoff terapi være spesielt anven</w:t>
      </w:r>
      <w:r w:rsidRPr="002646AD">
        <w:rPr>
          <w:rFonts w:ascii="Verdana" w:hAnsi="Verdana"/>
          <w:sz w:val="20"/>
        </w:rPr>
        <w:softHyphen/>
        <w:t xml:space="preserve">delig for pasienter som er </w:t>
      </w:r>
      <w:proofErr w:type="spellStart"/>
      <w:r w:rsidRPr="002646AD">
        <w:rPr>
          <w:rFonts w:ascii="Verdana" w:hAnsi="Verdana"/>
          <w:sz w:val="20"/>
        </w:rPr>
        <w:t>refraktoriske</w:t>
      </w:r>
      <w:proofErr w:type="spellEnd"/>
      <w:r w:rsidRPr="002646AD">
        <w:rPr>
          <w:rFonts w:ascii="Verdana" w:hAnsi="Verdana"/>
          <w:sz w:val="20"/>
        </w:rPr>
        <w:t xml:space="preserve"> eller som har fått tilbakefall etter behandling med kjemoterapeutiske medika</w:t>
      </w:r>
      <w:r w:rsidRPr="002646AD">
        <w:rPr>
          <w:rFonts w:ascii="Verdana" w:hAnsi="Verdana"/>
          <w:sz w:val="20"/>
        </w:rPr>
        <w:softHyphen/>
        <w:t xml:space="preserve">menter.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>-terapi kan også bli kombinert med radio</w:t>
      </w:r>
      <w:r w:rsidRPr="002646AD">
        <w:rPr>
          <w:rFonts w:ascii="Verdana" w:hAnsi="Verdana"/>
          <w:sz w:val="20"/>
        </w:rPr>
        <w:softHyphen/>
        <w:t xml:space="preserve">terapi i disse pasienter. TBI med en lav fraksjonsstørrelse på 15 </w:t>
      </w:r>
      <w:proofErr w:type="spellStart"/>
      <w:r w:rsidRPr="002646AD">
        <w:rPr>
          <w:rFonts w:ascii="Verdana" w:hAnsi="Verdana"/>
          <w:sz w:val="20"/>
        </w:rPr>
        <w:t>cGy</w:t>
      </w:r>
      <w:proofErr w:type="spellEnd"/>
      <w:r w:rsidRPr="002646AD">
        <w:rPr>
          <w:rFonts w:ascii="Verdana" w:hAnsi="Verdana"/>
          <w:sz w:val="20"/>
        </w:rPr>
        <w:t xml:space="preserve"> til totale doser på 75 til 150 </w:t>
      </w:r>
      <w:proofErr w:type="spellStart"/>
      <w:r w:rsidRPr="002646AD">
        <w:rPr>
          <w:rFonts w:ascii="Verdana" w:hAnsi="Verdana"/>
          <w:sz w:val="20"/>
        </w:rPr>
        <w:t>cGy</w:t>
      </w:r>
      <w:proofErr w:type="spellEnd"/>
      <w:r w:rsidRPr="002646AD">
        <w:rPr>
          <w:rFonts w:ascii="Verdana" w:hAnsi="Verdana"/>
          <w:sz w:val="20"/>
        </w:rPr>
        <w:t xml:space="preserve"> har blitt vist å være effektive i omkring en tredje del av pasientene.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fase II-forsøk blir for tiden utført av CALGB i CLL-pasienter.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og </w:t>
      </w:r>
      <w:proofErr w:type="spellStart"/>
      <w:r w:rsidRPr="002646AD">
        <w:rPr>
          <w:rFonts w:ascii="Verdana" w:hAnsi="Verdana"/>
          <w:sz w:val="20"/>
        </w:rPr>
        <w:t>fludarabin</w:t>
      </w:r>
      <w:proofErr w:type="spellEnd"/>
      <w:r w:rsidRPr="002646AD">
        <w:rPr>
          <w:rFonts w:ascii="Verdana" w:hAnsi="Verdana"/>
          <w:sz w:val="20"/>
        </w:rPr>
        <w:t xml:space="preserve"> administreres samtidig, fulgt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-konsolidering mot </w:t>
      </w:r>
      <w:proofErr w:type="spellStart"/>
      <w:r w:rsidRPr="002646AD">
        <w:rPr>
          <w:rFonts w:ascii="Verdana" w:hAnsi="Verdana"/>
          <w:sz w:val="20"/>
        </w:rPr>
        <w:t>fludarabin</w:t>
      </w:r>
      <w:proofErr w:type="spellEnd"/>
      <w:r w:rsidRPr="002646AD">
        <w:rPr>
          <w:rFonts w:ascii="Verdana" w:hAnsi="Verdana"/>
          <w:sz w:val="20"/>
        </w:rPr>
        <w:t xml:space="preserve">-induksjon fulgt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>.</w:t>
      </w:r>
    </w:p>
    <w:p w:rsidR="001003C4" w:rsidRPr="002646AD" w:rsidRDefault="001003C4">
      <w:pPr>
        <w:pStyle w:val="Overskrift1"/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lastRenderedPageBreak/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med </w:t>
      </w:r>
      <w:proofErr w:type="spellStart"/>
      <w:r w:rsidRPr="002646AD">
        <w:rPr>
          <w:rFonts w:ascii="Verdana" w:hAnsi="Verdana"/>
          <w:sz w:val="20"/>
        </w:rPr>
        <w:t>myeloablativ</w:t>
      </w:r>
      <w:proofErr w:type="spellEnd"/>
      <w:r w:rsidRPr="002646AD">
        <w:rPr>
          <w:rFonts w:ascii="Verdana" w:hAnsi="Verdana"/>
          <w:sz w:val="20"/>
        </w:rPr>
        <w:t xml:space="preserve"> terapi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t>Myeloablativ</w:t>
      </w:r>
      <w:proofErr w:type="spellEnd"/>
      <w:r w:rsidRPr="002646AD">
        <w:rPr>
          <w:rFonts w:ascii="Verdana" w:hAnsi="Verdana"/>
          <w:sz w:val="20"/>
        </w:rPr>
        <w:t xml:space="preserve"> terapi har gitt responser i </w:t>
      </w:r>
      <w:proofErr w:type="spellStart"/>
      <w:r w:rsidRPr="002646AD">
        <w:rPr>
          <w:rFonts w:ascii="Verdana" w:hAnsi="Verdana"/>
          <w:sz w:val="20"/>
        </w:rPr>
        <w:t>indolenter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</w:t>
      </w:r>
      <w:r w:rsidRPr="002646AD">
        <w:rPr>
          <w:rFonts w:ascii="Verdana" w:hAnsi="Verdana"/>
          <w:sz w:val="20"/>
        </w:rPr>
        <w:softHyphen/>
        <w:t>mer</w:t>
      </w:r>
      <w:proofErr w:type="spellEnd"/>
      <w:r w:rsidRPr="002646AD">
        <w:rPr>
          <w:rFonts w:ascii="Verdana" w:hAnsi="Verdana"/>
          <w:sz w:val="20"/>
        </w:rPr>
        <w:t xml:space="preserve">; men gjenværende tumorceller kan være tilbake til tross for høy-dose-terapi og PBSC som </w:t>
      </w:r>
      <w:proofErr w:type="spellStart"/>
      <w:r w:rsidRPr="002646AD">
        <w:rPr>
          <w:rFonts w:ascii="Verdana" w:hAnsi="Verdana"/>
          <w:sz w:val="20"/>
        </w:rPr>
        <w:t>reinfuseres</w:t>
      </w:r>
      <w:proofErr w:type="spellEnd"/>
      <w:r w:rsidRPr="002646AD">
        <w:rPr>
          <w:rFonts w:ascii="Verdana" w:hAnsi="Verdana"/>
          <w:sz w:val="20"/>
        </w:rPr>
        <w:t xml:space="preserve"> kan inneholde tumorceller.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blir følgelig brukt før stamcelle-mobilisering og etter transplantasjon for å redusere gjen</w:t>
      </w:r>
      <w:r w:rsidRPr="002646AD">
        <w:rPr>
          <w:rFonts w:ascii="Verdana" w:hAnsi="Verdana"/>
          <w:sz w:val="20"/>
        </w:rPr>
        <w:softHyphen/>
        <w:t xml:space="preserve">værende CD20+-tumorceller og forurensning av innhøstede benmarg eller stamceller. </w:t>
      </w:r>
      <w:proofErr w:type="spellStart"/>
      <w:r w:rsidRPr="002646AD">
        <w:rPr>
          <w:rFonts w:ascii="Verdana" w:hAnsi="Verdana"/>
          <w:sz w:val="20"/>
        </w:rPr>
        <w:t>Melllomliggende</w:t>
      </w:r>
      <w:proofErr w:type="spellEnd"/>
      <w:r w:rsidRPr="002646AD">
        <w:rPr>
          <w:rFonts w:ascii="Verdana" w:hAnsi="Verdana"/>
          <w:sz w:val="20"/>
        </w:rPr>
        <w:t xml:space="preserve"> resultater viste at ingen CD20+-celler var påviselige i innhøstede celler. Atten av 24 pasienter oppnådde transplantasjon og behandlingen ble godt tolerert. PCR-testing foregår for å vurdere gjenværende tumorceller (18).</w:t>
      </w:r>
    </w:p>
    <w:p w:rsidR="001003C4" w:rsidRPr="002646AD" w:rsidRDefault="001003C4">
      <w:pPr>
        <w:pStyle w:val="Overskrift1"/>
        <w:keepLines w:val="0"/>
        <w:rPr>
          <w:rFonts w:ascii="Verdana" w:hAnsi="Verdana"/>
          <w:kern w:val="0"/>
          <w:sz w:val="20"/>
        </w:rPr>
      </w:pPr>
      <w:r w:rsidRPr="002646AD">
        <w:rPr>
          <w:rFonts w:ascii="Verdana" w:hAnsi="Verdana"/>
          <w:kern w:val="0"/>
          <w:sz w:val="20"/>
        </w:rPr>
        <w:t xml:space="preserve">Gjenbehandling av </w:t>
      </w:r>
      <w:proofErr w:type="spellStart"/>
      <w:r w:rsidRPr="002646AD">
        <w:rPr>
          <w:rFonts w:ascii="Verdana" w:hAnsi="Verdana"/>
          <w:kern w:val="0"/>
          <w:sz w:val="20"/>
        </w:rPr>
        <w:t>tilbakefalt</w:t>
      </w:r>
      <w:proofErr w:type="spellEnd"/>
      <w:r w:rsidRPr="002646AD">
        <w:rPr>
          <w:rFonts w:ascii="Verdana" w:hAnsi="Verdana"/>
          <w:kern w:val="0"/>
          <w:sz w:val="20"/>
        </w:rPr>
        <w:t xml:space="preserve"> lavgrads NHL med </w:t>
      </w:r>
      <w:proofErr w:type="spellStart"/>
      <w:r w:rsidRPr="002646AD">
        <w:rPr>
          <w:rFonts w:ascii="Verdana" w:hAnsi="Verdana"/>
          <w:kern w:val="0"/>
          <w:sz w:val="20"/>
        </w:rPr>
        <w:t>Rituximab</w:t>
      </w:r>
      <w:proofErr w:type="spellEnd"/>
      <w:r w:rsidRPr="002646AD">
        <w:rPr>
          <w:rFonts w:ascii="Verdana" w:hAnsi="Verdana"/>
          <w:kern w:val="0"/>
          <w:sz w:val="20"/>
        </w:rPr>
        <w:sym w:font="Symbol" w:char="F0E2"/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Et forsøk som vurderer gjenbehandling av 53 pasienter som hadde reagert på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og senere fått tilbakefall har blitt rapportert (19).  Syv av femtiseks </w:t>
      </w:r>
      <w:proofErr w:type="spellStart"/>
      <w:r w:rsidRPr="002646AD">
        <w:rPr>
          <w:rFonts w:ascii="Verdana" w:hAnsi="Verdana"/>
          <w:sz w:val="20"/>
        </w:rPr>
        <w:t>vurderbare</w:t>
      </w:r>
      <w:proofErr w:type="spellEnd"/>
      <w:r w:rsidRPr="002646AD">
        <w:rPr>
          <w:rFonts w:ascii="Verdana" w:hAnsi="Verdana"/>
          <w:sz w:val="20"/>
        </w:rPr>
        <w:t xml:space="preserve"> pasienter (</w:t>
      </w:r>
      <w:proofErr w:type="gramStart"/>
      <w:r w:rsidRPr="002646AD">
        <w:rPr>
          <w:rFonts w:ascii="Verdana" w:hAnsi="Verdana"/>
          <w:sz w:val="20"/>
        </w:rPr>
        <w:t>13%</w:t>
      </w:r>
      <w:proofErr w:type="gramEnd"/>
      <w:r w:rsidRPr="002646AD">
        <w:rPr>
          <w:rFonts w:ascii="Verdana" w:hAnsi="Verdana"/>
          <w:sz w:val="20"/>
        </w:rPr>
        <w:t>) oppnådde en CR og 16 en PR (29%) for en ORR på 42%.  Fire pasienter som hadde en andre reaksjon mot en tredje behandling; 3 av disse reagerte.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Etter behandling med to forløp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, uttrykte en pasients tumor, opprinnelig klassifisert som follikulær spaltet småcelle NHL, ikke lenger CD20 antigene og reagerte ikke på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ved tiden for transformasjon til dif</w:t>
      </w:r>
      <w:r w:rsidRPr="002646AD">
        <w:rPr>
          <w:rFonts w:ascii="Verdana" w:hAnsi="Verdana"/>
          <w:sz w:val="20"/>
        </w:rPr>
        <w:softHyphen/>
        <w:t>fus storcelle NHL (20).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Således, selv om behandling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er effektiv for å behandle pasienter som har fått tilbakefall etter tid</w:t>
      </w:r>
      <w:r w:rsidRPr="002646AD">
        <w:rPr>
          <w:rFonts w:ascii="Verdana" w:hAnsi="Verdana"/>
          <w:sz w:val="20"/>
        </w:rPr>
        <w:softHyphen/>
        <w:t xml:space="preserve">ligere behandling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>, kan det være en øket hyppighet for CD20- tumorceller etter sekundær behandling.  Denne observasjonen støtter anvendeligheten av de kombi</w:t>
      </w:r>
      <w:r w:rsidRPr="002646AD">
        <w:rPr>
          <w:rFonts w:ascii="Verdana" w:hAnsi="Verdana"/>
          <w:sz w:val="20"/>
        </w:rPr>
        <w:softHyphen/>
        <w:t>nerte terapeutiske behandlingsregimer beskrevet heri.</w:t>
      </w:r>
    </w:p>
    <w:p w:rsidR="001003C4" w:rsidRPr="002646AD" w:rsidRDefault="001003C4">
      <w:pPr>
        <w:pStyle w:val="Brdtekst"/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Kombinasjon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og CHOP-kjemoterapi for lavgrads NHL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Kjemoterapi med </w:t>
      </w:r>
      <w:proofErr w:type="spellStart"/>
      <w:r w:rsidRPr="002646AD">
        <w:rPr>
          <w:rFonts w:ascii="Verdana" w:hAnsi="Verdana"/>
          <w:sz w:val="20"/>
        </w:rPr>
        <w:t>cyklofosfamid</w:t>
      </w:r>
      <w:proofErr w:type="spellEnd"/>
      <w:r w:rsidRPr="002646AD">
        <w:rPr>
          <w:rFonts w:ascii="Verdana" w:hAnsi="Verdana"/>
          <w:sz w:val="20"/>
        </w:rPr>
        <w:t xml:space="preserve">, </w:t>
      </w:r>
      <w:proofErr w:type="spellStart"/>
      <w:r w:rsidRPr="002646AD">
        <w:rPr>
          <w:rFonts w:ascii="Verdana" w:hAnsi="Verdana"/>
          <w:sz w:val="20"/>
        </w:rPr>
        <w:t>doksorubisin</w:t>
      </w:r>
      <w:proofErr w:type="spellEnd"/>
      <w:r w:rsidRPr="002646AD">
        <w:rPr>
          <w:rFonts w:ascii="Verdana" w:hAnsi="Verdana"/>
          <w:sz w:val="20"/>
        </w:rPr>
        <w:t xml:space="preserve">, </w:t>
      </w:r>
      <w:proofErr w:type="spellStart"/>
      <w:r w:rsidRPr="002646AD">
        <w:rPr>
          <w:rFonts w:ascii="Verdana" w:hAnsi="Verdana"/>
          <w:sz w:val="20"/>
        </w:rPr>
        <w:t>vinkristin</w:t>
      </w:r>
      <w:proofErr w:type="spellEnd"/>
      <w:r w:rsidRPr="002646AD">
        <w:rPr>
          <w:rFonts w:ascii="Verdana" w:hAnsi="Verdana"/>
          <w:sz w:val="20"/>
        </w:rPr>
        <w:t xml:space="preserve"> og </w:t>
      </w:r>
      <w:proofErr w:type="spellStart"/>
      <w:r w:rsidRPr="002646AD">
        <w:rPr>
          <w:rFonts w:ascii="Verdana" w:hAnsi="Verdana"/>
          <w:sz w:val="20"/>
        </w:rPr>
        <w:t>prednison</w:t>
      </w:r>
      <w:proofErr w:type="spellEnd"/>
      <w:r w:rsidRPr="002646AD">
        <w:rPr>
          <w:rFonts w:ascii="Verdana" w:hAnsi="Verdana"/>
          <w:sz w:val="20"/>
        </w:rPr>
        <w:t xml:space="preserve"> (CHOP) er en effektiv førstelinje-terapi for </w:t>
      </w:r>
      <w:proofErr w:type="spellStart"/>
      <w:r w:rsidRPr="002646AD">
        <w:rPr>
          <w:rFonts w:ascii="Verdana" w:hAnsi="Verdana"/>
          <w:sz w:val="20"/>
        </w:rPr>
        <w:t>lav</w:t>
      </w:r>
      <w:r w:rsidRPr="002646AD">
        <w:rPr>
          <w:rFonts w:ascii="Verdana" w:hAnsi="Verdana"/>
          <w:sz w:val="20"/>
        </w:rPr>
        <w:softHyphen/>
        <w:t>grads</w:t>
      </w:r>
      <w:proofErr w:type="spellEnd"/>
      <w:r w:rsidRPr="002646AD">
        <w:rPr>
          <w:rFonts w:ascii="Verdana" w:hAnsi="Verdana"/>
          <w:sz w:val="20"/>
        </w:rPr>
        <w:t xml:space="preserve"> eller follikulær NHL.  Selv om initiale </w:t>
      </w:r>
      <w:proofErr w:type="spellStart"/>
      <w:r w:rsidRPr="002646AD">
        <w:rPr>
          <w:rFonts w:ascii="Verdana" w:hAnsi="Verdana"/>
          <w:sz w:val="20"/>
        </w:rPr>
        <w:t>reaksjonsgra</w:t>
      </w:r>
      <w:r w:rsidRPr="002646AD">
        <w:rPr>
          <w:rFonts w:ascii="Verdana" w:hAnsi="Verdana"/>
          <w:sz w:val="20"/>
        </w:rPr>
        <w:softHyphen/>
        <w:t>der</w:t>
      </w:r>
      <w:proofErr w:type="spellEnd"/>
      <w:r w:rsidRPr="002646AD">
        <w:rPr>
          <w:rFonts w:ascii="Verdana" w:hAnsi="Verdana"/>
          <w:sz w:val="20"/>
        </w:rPr>
        <w:t xml:space="preserve"> er høye, opptrer til slutt tilbakefall og etterfølgende kjemoterapi-regimer gir remisjoner med kortere varighet.  Et fase II-forsøk ble satt i gang for å vurdere kombinasjo</w:t>
      </w:r>
      <w:r w:rsidRPr="002646AD">
        <w:rPr>
          <w:rFonts w:ascii="Verdana" w:hAnsi="Verdana"/>
          <w:sz w:val="20"/>
        </w:rPr>
        <w:softHyphen/>
        <w:t xml:space="preserve">nen av CHOP og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(21) i nylig diagnostisert </w:t>
      </w:r>
      <w:proofErr w:type="spellStart"/>
      <w:r w:rsidRPr="002646AD">
        <w:rPr>
          <w:rFonts w:ascii="Verdana" w:hAnsi="Verdana"/>
          <w:sz w:val="20"/>
        </w:rPr>
        <w:t>lav</w:t>
      </w:r>
      <w:r w:rsidRPr="002646AD">
        <w:rPr>
          <w:rFonts w:ascii="Verdana" w:hAnsi="Verdana"/>
          <w:sz w:val="20"/>
        </w:rPr>
        <w:softHyphen/>
        <w:t>grads</w:t>
      </w:r>
      <w:proofErr w:type="spellEnd"/>
      <w:r w:rsidRPr="002646AD">
        <w:rPr>
          <w:rFonts w:ascii="Verdana" w:hAnsi="Verdana"/>
          <w:sz w:val="20"/>
        </w:rPr>
        <w:t xml:space="preserve"> eller follikulær NHL med tilbakefall fordi deres virkningsmekanisme ikke er </w:t>
      </w:r>
      <w:r w:rsidRPr="002646AD">
        <w:rPr>
          <w:rFonts w:ascii="Verdana" w:hAnsi="Verdana"/>
          <w:sz w:val="20"/>
        </w:rPr>
        <w:lastRenderedPageBreak/>
        <w:t xml:space="preserve">kryssresistent og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er synergistisk med visse </w:t>
      </w:r>
      <w:proofErr w:type="spellStart"/>
      <w:r w:rsidRPr="002646AD">
        <w:rPr>
          <w:rFonts w:ascii="Verdana" w:hAnsi="Verdana"/>
          <w:sz w:val="20"/>
        </w:rPr>
        <w:t>cytotoksiske</w:t>
      </w:r>
      <w:proofErr w:type="spellEnd"/>
      <w:r w:rsidRPr="002646AD">
        <w:rPr>
          <w:rFonts w:ascii="Verdana" w:hAnsi="Verdana"/>
          <w:sz w:val="20"/>
        </w:rPr>
        <w:t xml:space="preserve"> medikamenter innbe</w:t>
      </w:r>
      <w:r w:rsidRPr="002646AD">
        <w:rPr>
          <w:rFonts w:ascii="Verdana" w:hAnsi="Verdana"/>
          <w:sz w:val="20"/>
        </w:rPr>
        <w:softHyphen/>
        <w:t xml:space="preserve">fattende </w:t>
      </w:r>
      <w:proofErr w:type="spellStart"/>
      <w:r w:rsidRPr="002646AD">
        <w:rPr>
          <w:rFonts w:ascii="Verdana" w:hAnsi="Verdana"/>
          <w:sz w:val="20"/>
        </w:rPr>
        <w:t>doksorubisin</w:t>
      </w:r>
      <w:proofErr w:type="spellEnd"/>
      <w:r w:rsidRPr="002646AD">
        <w:rPr>
          <w:rFonts w:ascii="Verdana" w:hAnsi="Verdana"/>
          <w:sz w:val="20"/>
        </w:rPr>
        <w:t xml:space="preserve"> (5).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Tjueni av 38 pasienter mottok ingen tidligere antikreft-terapi.  CHOP ble administrert ved standard doser hver tredje uke i seks sykluser med seks infusjoner av </w:t>
      </w:r>
      <w:proofErr w:type="spellStart"/>
      <w:r w:rsidRPr="002646AD">
        <w:rPr>
          <w:rFonts w:ascii="Verdana" w:hAnsi="Verdana"/>
          <w:sz w:val="20"/>
        </w:rPr>
        <w:t>Rituxi</w:t>
      </w:r>
      <w:r w:rsidRPr="002646AD">
        <w:rPr>
          <w:rFonts w:ascii="Verdana" w:hAnsi="Verdana"/>
          <w:sz w:val="20"/>
        </w:rPr>
        <w:softHyphen/>
        <w:t>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(375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).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>-infusjoner 1 og 2 ble admi</w:t>
      </w:r>
      <w:r w:rsidRPr="002646AD">
        <w:rPr>
          <w:rFonts w:ascii="Verdana" w:hAnsi="Verdana"/>
          <w:sz w:val="20"/>
        </w:rPr>
        <w:softHyphen/>
        <w:t xml:space="preserve">nistrert på dag 1 og 6 før første CHOP syklus som startet på dag 8.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-infusjoner 3 og 4 ble gitt 2 dager før henholdsvis tredje og femte CHOP </w:t>
      </w:r>
      <w:proofErr w:type="spellStart"/>
      <w:r w:rsidRPr="002646AD">
        <w:rPr>
          <w:rFonts w:ascii="Verdana" w:hAnsi="Verdana"/>
          <w:sz w:val="20"/>
        </w:rPr>
        <w:t>cyklus</w:t>
      </w:r>
      <w:proofErr w:type="spellEnd"/>
      <w:r w:rsidRPr="002646AD">
        <w:rPr>
          <w:rFonts w:ascii="Verdana" w:hAnsi="Verdana"/>
          <w:sz w:val="20"/>
        </w:rPr>
        <w:t xml:space="preserve"> og infusjoner 5 og 6 ble gitt henholdsvis på dag 134 og 141 etter sjette CHOP </w:t>
      </w:r>
      <w:proofErr w:type="spellStart"/>
      <w:r w:rsidRPr="002646AD">
        <w:rPr>
          <w:rFonts w:ascii="Verdana" w:hAnsi="Verdana"/>
          <w:sz w:val="20"/>
        </w:rPr>
        <w:t>cyklus</w:t>
      </w:r>
      <w:proofErr w:type="spellEnd"/>
      <w:r w:rsidRPr="002646AD">
        <w:rPr>
          <w:rFonts w:ascii="Verdana" w:hAnsi="Verdana"/>
          <w:sz w:val="20"/>
        </w:rPr>
        <w:t>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 dette kombinasjonsstudiet reagerte </w:t>
      </w:r>
      <w:proofErr w:type="gramStart"/>
      <w:r w:rsidRPr="002646AD">
        <w:rPr>
          <w:rFonts w:ascii="Verdana" w:hAnsi="Verdana"/>
          <w:sz w:val="20"/>
        </w:rPr>
        <w:t>100%</w:t>
      </w:r>
      <w:proofErr w:type="gramEnd"/>
      <w:r w:rsidRPr="002646AD">
        <w:rPr>
          <w:rFonts w:ascii="Verdana" w:hAnsi="Verdana"/>
          <w:sz w:val="20"/>
        </w:rPr>
        <w:t xml:space="preserve"> av de 38 pasien</w:t>
      </w:r>
      <w:r w:rsidRPr="002646AD">
        <w:rPr>
          <w:rFonts w:ascii="Verdana" w:hAnsi="Verdana"/>
          <w:sz w:val="20"/>
        </w:rPr>
        <w:softHyphen/>
        <w:t xml:space="preserve">ter som ble behandlet (CR 58%; PR 42%).  Av 35 </w:t>
      </w:r>
      <w:proofErr w:type="spellStart"/>
      <w:r w:rsidRPr="002646AD">
        <w:rPr>
          <w:rFonts w:ascii="Verdana" w:hAnsi="Verdana"/>
          <w:sz w:val="20"/>
        </w:rPr>
        <w:t>vurderbare</w:t>
      </w:r>
      <w:proofErr w:type="spellEnd"/>
      <w:r w:rsidRPr="002646AD">
        <w:rPr>
          <w:rFonts w:ascii="Verdana" w:hAnsi="Verdana"/>
          <w:sz w:val="20"/>
        </w:rPr>
        <w:t xml:space="preserve"> pasienter som avsluttet behandling, var det </w:t>
      </w:r>
      <w:proofErr w:type="gramStart"/>
      <w:r w:rsidRPr="002646AD">
        <w:rPr>
          <w:rFonts w:ascii="Verdana" w:hAnsi="Verdana"/>
          <w:sz w:val="20"/>
        </w:rPr>
        <w:t>63%</w:t>
      </w:r>
      <w:proofErr w:type="gramEnd"/>
      <w:r w:rsidRPr="002646AD">
        <w:rPr>
          <w:rFonts w:ascii="Verdana" w:hAnsi="Verdana"/>
          <w:sz w:val="20"/>
        </w:rPr>
        <w:t xml:space="preserve"> CR og 37% PR (21).  Midlere DR er 35,3+ måneder med midlere </w:t>
      </w:r>
      <w:proofErr w:type="spellStart"/>
      <w:r w:rsidRPr="002646AD">
        <w:rPr>
          <w:rFonts w:ascii="Verdana" w:hAnsi="Verdana"/>
          <w:sz w:val="20"/>
        </w:rPr>
        <w:t>progre</w:t>
      </w:r>
      <w:r w:rsidRPr="002646AD">
        <w:rPr>
          <w:rFonts w:ascii="Verdana" w:hAnsi="Verdana"/>
          <w:sz w:val="20"/>
        </w:rPr>
        <w:softHyphen/>
        <w:t>sjonsfri</w:t>
      </w:r>
      <w:proofErr w:type="spellEnd"/>
      <w:r w:rsidRPr="002646AD">
        <w:rPr>
          <w:rFonts w:ascii="Verdana" w:hAnsi="Verdana"/>
          <w:sz w:val="20"/>
        </w:rPr>
        <w:t xml:space="preserve"> overlevelse ikke nådd etter midlere observasjons</w:t>
      </w:r>
      <w:r w:rsidRPr="002646AD">
        <w:rPr>
          <w:rFonts w:ascii="Verdana" w:hAnsi="Verdana"/>
          <w:sz w:val="20"/>
        </w:rPr>
        <w:softHyphen/>
        <w:t xml:space="preserve">tid på 36,7+ måneder.  </w:t>
      </w:r>
      <w:proofErr w:type="spellStart"/>
      <w:r w:rsidRPr="002646AD">
        <w:rPr>
          <w:rFonts w:ascii="Verdana" w:hAnsi="Verdana"/>
          <w:sz w:val="20"/>
        </w:rPr>
        <w:t>Tyve</w:t>
      </w:r>
      <w:proofErr w:type="spellEnd"/>
      <w:r w:rsidRPr="002646AD">
        <w:rPr>
          <w:rFonts w:ascii="Verdana" w:hAnsi="Verdana"/>
          <w:sz w:val="20"/>
        </w:rPr>
        <w:t xml:space="preserve"> pasienter er fremdeles i remi</w:t>
      </w:r>
      <w:r w:rsidRPr="002646AD">
        <w:rPr>
          <w:rFonts w:ascii="Verdana" w:hAnsi="Verdana"/>
          <w:sz w:val="20"/>
        </w:rPr>
        <w:softHyphen/>
        <w:t>sjon etter 36+ måneder til 53,4+ måneder (22).  Denne DR er imponerende selv for førstelinje</w:t>
      </w:r>
      <w:r w:rsidRPr="002646AD">
        <w:rPr>
          <w:rFonts w:ascii="Verdana" w:hAnsi="Verdana"/>
          <w:sz w:val="20"/>
        </w:rPr>
        <w:softHyphen/>
        <w:t xml:space="preserve">behandling og </w:t>
      </w:r>
      <w:proofErr w:type="gramStart"/>
      <w:r w:rsidRPr="002646AD">
        <w:rPr>
          <w:rFonts w:ascii="Verdana" w:hAnsi="Verdana"/>
          <w:sz w:val="20"/>
        </w:rPr>
        <w:t>24%</w:t>
      </w:r>
      <w:proofErr w:type="gramEnd"/>
      <w:r w:rsidRPr="002646AD">
        <w:rPr>
          <w:rFonts w:ascii="Verdana" w:hAnsi="Verdana"/>
          <w:sz w:val="20"/>
        </w:rPr>
        <w:t xml:space="preserve"> av denne forsøkspopulasjonen hadde fått tilbakefall etter kjemo</w:t>
      </w:r>
      <w:r w:rsidRPr="002646AD">
        <w:rPr>
          <w:rFonts w:ascii="Verdana" w:hAnsi="Verdana"/>
          <w:sz w:val="20"/>
        </w:rPr>
        <w:softHyphen/>
        <w:t>terapi.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 et studium som skal avsluttes av CALGB vil 40 pasienter med lavgrads NHL motta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ukentlig ganger 8 og oral </w:t>
      </w:r>
      <w:proofErr w:type="spellStart"/>
      <w:r w:rsidRPr="002646AD">
        <w:rPr>
          <w:rFonts w:ascii="Verdana" w:hAnsi="Verdana"/>
          <w:sz w:val="20"/>
        </w:rPr>
        <w:t>cyklofosfamid</w:t>
      </w:r>
      <w:proofErr w:type="spellEnd"/>
      <w:r w:rsidRPr="002646AD">
        <w:rPr>
          <w:rFonts w:ascii="Verdana" w:hAnsi="Verdana"/>
          <w:sz w:val="20"/>
        </w:rPr>
        <w:t xml:space="preserve"> daglig ved å starte på dag 8.  </w:t>
      </w:r>
      <w:proofErr w:type="spellStart"/>
      <w:r w:rsidRPr="002646AD">
        <w:rPr>
          <w:rFonts w:ascii="Verdana" w:hAnsi="Verdana"/>
          <w:sz w:val="20"/>
        </w:rPr>
        <w:t>Tyve</w:t>
      </w:r>
      <w:proofErr w:type="spellEnd"/>
      <w:r w:rsidRPr="002646AD">
        <w:rPr>
          <w:rFonts w:ascii="Verdana" w:hAnsi="Verdana"/>
          <w:sz w:val="20"/>
        </w:rPr>
        <w:t xml:space="preserve"> pasienter vil motta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alene i 8 ukentlige doser.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fase III studium utført med ECOG i pasienter med </w:t>
      </w:r>
      <w:proofErr w:type="spellStart"/>
      <w:r w:rsidRPr="002646AD">
        <w:rPr>
          <w:rFonts w:ascii="Verdana" w:hAnsi="Verdana"/>
          <w:sz w:val="20"/>
        </w:rPr>
        <w:t>lav</w:t>
      </w:r>
      <w:r w:rsidRPr="002646AD">
        <w:rPr>
          <w:rFonts w:ascii="Verdana" w:hAnsi="Verdana"/>
          <w:sz w:val="20"/>
        </w:rPr>
        <w:softHyphen/>
        <w:t>grads</w:t>
      </w:r>
      <w:proofErr w:type="spellEnd"/>
      <w:r w:rsidRPr="002646AD">
        <w:rPr>
          <w:rFonts w:ascii="Verdana" w:hAnsi="Verdana"/>
          <w:sz w:val="20"/>
        </w:rPr>
        <w:t xml:space="preserve"> NHL sammenligner kombinasjonen av </w:t>
      </w:r>
      <w:proofErr w:type="spellStart"/>
      <w:r w:rsidRPr="002646AD">
        <w:rPr>
          <w:rFonts w:ascii="Verdana" w:hAnsi="Verdana"/>
          <w:sz w:val="20"/>
        </w:rPr>
        <w:t>cyklofosfamid</w:t>
      </w:r>
      <w:proofErr w:type="spellEnd"/>
      <w:r w:rsidRPr="002646AD">
        <w:rPr>
          <w:rFonts w:ascii="Verdana" w:hAnsi="Verdana"/>
          <w:sz w:val="20"/>
        </w:rPr>
        <w:t xml:space="preserve"> og </w:t>
      </w:r>
      <w:proofErr w:type="spellStart"/>
      <w:r w:rsidRPr="002646AD">
        <w:rPr>
          <w:rFonts w:ascii="Verdana" w:hAnsi="Verdana"/>
          <w:sz w:val="20"/>
        </w:rPr>
        <w:t>fluarabin</w:t>
      </w:r>
      <w:proofErr w:type="spellEnd"/>
      <w:r w:rsidRPr="002646AD">
        <w:rPr>
          <w:rFonts w:ascii="Verdana" w:hAnsi="Verdana"/>
          <w:sz w:val="20"/>
        </w:rPr>
        <w:t xml:space="preserve"> (Arm A) med standard CVP-terapi (Arm B).  I randomiseringen til Arm A eller Arm B blir pasienter delt opp ut fra alder, tumorbelastning, histologi og B-sympto</w:t>
      </w:r>
      <w:r w:rsidRPr="002646AD">
        <w:rPr>
          <w:rFonts w:ascii="Verdana" w:hAnsi="Verdana"/>
          <w:sz w:val="20"/>
        </w:rPr>
        <w:softHyphen/>
        <w:t xml:space="preserve">mer.  De som reagerer i begge armer vil undergå en andre randomisering til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opprettholdelsesterapi (375 mg/m</w:t>
      </w:r>
      <w:r w:rsidRPr="002646AD">
        <w:rPr>
          <w:rFonts w:ascii="Verdana" w:hAnsi="Verdana"/>
          <w:sz w:val="20"/>
          <w:vertAlign w:val="superscript"/>
        </w:rPr>
        <w:t xml:space="preserve">2 </w:t>
      </w:r>
      <w:r w:rsidRPr="002646AD">
        <w:rPr>
          <w:rFonts w:ascii="Verdana" w:hAnsi="Verdana"/>
          <w:sz w:val="20"/>
        </w:rPr>
        <w:t>ukentlig ganger 4 hver 6. måned i 2 år (Arm C) eller til observasjon (Arm D).</w:t>
      </w:r>
    </w:p>
    <w:p w:rsidR="001003C4" w:rsidRPr="002646AD" w:rsidRDefault="001003C4">
      <w:pPr>
        <w:pStyle w:val="Overskrift1"/>
        <w:keepLines w:val="0"/>
        <w:rPr>
          <w:rFonts w:ascii="Verdana" w:hAnsi="Verdana"/>
          <w:kern w:val="0"/>
          <w:sz w:val="20"/>
        </w:rPr>
      </w:pPr>
      <w:r w:rsidRPr="002646AD">
        <w:rPr>
          <w:rFonts w:ascii="Verdana" w:hAnsi="Verdana"/>
          <w:kern w:val="0"/>
          <w:sz w:val="20"/>
        </w:rPr>
        <w:t xml:space="preserve">Kombinasjon av </w:t>
      </w:r>
      <w:proofErr w:type="spellStart"/>
      <w:r w:rsidRPr="002646AD">
        <w:rPr>
          <w:rFonts w:ascii="Verdana" w:hAnsi="Verdana"/>
          <w:kern w:val="0"/>
          <w:sz w:val="20"/>
        </w:rPr>
        <w:t>Rituximab</w:t>
      </w:r>
      <w:proofErr w:type="spellEnd"/>
      <w:r w:rsidRPr="002646AD">
        <w:rPr>
          <w:rFonts w:ascii="Verdana" w:hAnsi="Verdana"/>
          <w:kern w:val="0"/>
          <w:sz w:val="20"/>
        </w:rPr>
        <w:sym w:font="Symbol" w:char="F0E2"/>
      </w:r>
      <w:r w:rsidRPr="002646AD">
        <w:rPr>
          <w:rFonts w:ascii="Verdana" w:hAnsi="Verdana"/>
          <w:kern w:val="0"/>
          <w:sz w:val="20"/>
        </w:rPr>
        <w:t xml:space="preserve"> med cytokiner</w:t>
      </w:r>
    </w:p>
    <w:p w:rsidR="001003C4" w:rsidRPr="002646AD" w:rsidRDefault="001003C4">
      <w:pPr>
        <w:rPr>
          <w:rFonts w:ascii="Verdana" w:hAnsi="Verdana"/>
          <w:sz w:val="20"/>
          <w:u w:val="single"/>
        </w:rPr>
      </w:pPr>
      <w:proofErr w:type="spellStart"/>
      <w:r w:rsidRPr="002646AD">
        <w:rPr>
          <w:rFonts w:ascii="Verdana" w:hAnsi="Verdana"/>
          <w:sz w:val="20"/>
          <w:u w:val="single"/>
        </w:rPr>
        <w:t>Rituximab</w:t>
      </w:r>
      <w:proofErr w:type="spellEnd"/>
      <w:r w:rsidRPr="002646AD">
        <w:rPr>
          <w:rFonts w:ascii="Verdana" w:hAnsi="Verdana"/>
          <w:sz w:val="20"/>
          <w:u w:val="single"/>
        </w:rPr>
        <w:sym w:font="Symbol" w:char="F0E2"/>
      </w:r>
      <w:r w:rsidRPr="002646AD">
        <w:rPr>
          <w:rFonts w:ascii="Verdana" w:hAnsi="Verdana"/>
          <w:sz w:val="20"/>
          <w:u w:val="single"/>
        </w:rPr>
        <w:t xml:space="preserve"> pluss interferon-alfa.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Interferon er et cytokin involvert i modulering av immun</w:t>
      </w:r>
      <w:r w:rsidRPr="002646AD">
        <w:rPr>
          <w:rFonts w:ascii="Verdana" w:hAnsi="Verdana"/>
          <w:sz w:val="20"/>
        </w:rPr>
        <w:softHyphen/>
        <w:t>systemet (23).  Mekanismer hvorved interferon kan øke ef</w:t>
      </w:r>
      <w:r w:rsidRPr="002646AD">
        <w:rPr>
          <w:rFonts w:ascii="Verdana" w:hAnsi="Verdana"/>
          <w:sz w:val="20"/>
        </w:rPr>
        <w:softHyphen/>
        <w:t>fektiviteten av antistoff innbefatter forsterkningen av antigenekspresjon (24), øket målretning av antistoff over</w:t>
      </w:r>
      <w:r w:rsidRPr="002646AD">
        <w:rPr>
          <w:rFonts w:ascii="Verdana" w:hAnsi="Verdana"/>
          <w:sz w:val="20"/>
        </w:rPr>
        <w:softHyphen/>
        <w:t xml:space="preserve">for svulster (25, 26) og øket </w:t>
      </w:r>
      <w:proofErr w:type="spellStart"/>
      <w:r w:rsidRPr="002646AD">
        <w:rPr>
          <w:rFonts w:ascii="Verdana" w:hAnsi="Verdana"/>
          <w:sz w:val="20"/>
        </w:rPr>
        <w:t>cytotoksisitet</w:t>
      </w:r>
      <w:proofErr w:type="spellEnd"/>
      <w:r w:rsidRPr="002646AD">
        <w:rPr>
          <w:rFonts w:ascii="Verdana" w:hAnsi="Verdana"/>
          <w:sz w:val="20"/>
        </w:rPr>
        <w:t xml:space="preserve"> av </w:t>
      </w:r>
      <w:proofErr w:type="spellStart"/>
      <w:r w:rsidRPr="002646AD">
        <w:rPr>
          <w:rFonts w:ascii="Verdana" w:hAnsi="Verdana"/>
          <w:sz w:val="20"/>
        </w:rPr>
        <w:t>immuno</w:t>
      </w:r>
      <w:r w:rsidRPr="002646AD">
        <w:rPr>
          <w:rFonts w:ascii="Verdana" w:hAnsi="Verdana"/>
          <w:sz w:val="20"/>
        </w:rPr>
        <w:softHyphen/>
        <w:t>tok</w:t>
      </w:r>
      <w:r w:rsidRPr="002646AD">
        <w:rPr>
          <w:rFonts w:ascii="Verdana" w:hAnsi="Verdana"/>
          <w:sz w:val="20"/>
        </w:rPr>
        <w:softHyphen/>
        <w:t>siner</w:t>
      </w:r>
      <w:proofErr w:type="spellEnd"/>
      <w:r w:rsidRPr="002646AD">
        <w:rPr>
          <w:rFonts w:ascii="Verdana" w:hAnsi="Verdana"/>
          <w:sz w:val="20"/>
        </w:rPr>
        <w:t xml:space="preserve"> (27).  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lastRenderedPageBreak/>
        <w:t>I et kombinasjonsforsøk ble interferon-alfa (</w:t>
      </w:r>
      <w:proofErr w:type="spellStart"/>
      <w:r w:rsidRPr="002646AD">
        <w:rPr>
          <w:rFonts w:ascii="Verdana" w:hAnsi="Verdana"/>
          <w:sz w:val="20"/>
        </w:rPr>
        <w:t>Roferon</w:t>
      </w:r>
      <w:proofErr w:type="spellEnd"/>
      <w:r w:rsidRPr="002646AD">
        <w:rPr>
          <w:rFonts w:ascii="Verdana" w:hAnsi="Verdana"/>
          <w:sz w:val="20"/>
        </w:rPr>
        <w:t xml:space="preserve">-A) et cytokin med en enkel-middel aktivitet i NHL (28), og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gitt til pasienter med tilbakefall av lavgrads eller follikulær NHL.  Interferon-alfa (2,5 eller 5 MIU) ble administrert subkutant tre ganger ukentlig i 12 uker.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ble administrert ved IV-infusjon ukentlig i 4 doser (375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) ved å starte på femte behandlingsuke.  ORR var </w:t>
      </w:r>
      <w:proofErr w:type="gramStart"/>
      <w:r w:rsidRPr="002646AD">
        <w:rPr>
          <w:rFonts w:ascii="Verdana" w:hAnsi="Verdana"/>
          <w:sz w:val="20"/>
        </w:rPr>
        <w:t>45%</w:t>
      </w:r>
      <w:proofErr w:type="gramEnd"/>
      <w:r w:rsidRPr="002646AD">
        <w:rPr>
          <w:rFonts w:ascii="Verdana" w:hAnsi="Verdana"/>
          <w:sz w:val="20"/>
        </w:rPr>
        <w:t xml:space="preserve"> (17/38 pasienter); 11% hadde en CR og 34% hadde en PR.  </w:t>
      </w:r>
      <w:proofErr w:type="spellStart"/>
      <w:r w:rsidRPr="002646AD">
        <w:rPr>
          <w:rFonts w:ascii="Verdana" w:hAnsi="Verdana"/>
          <w:sz w:val="20"/>
        </w:rPr>
        <w:t>Kaplan</w:t>
      </w:r>
      <w:proofErr w:type="spellEnd"/>
      <w:r w:rsidRPr="002646AD">
        <w:rPr>
          <w:rFonts w:ascii="Verdana" w:hAnsi="Verdana"/>
          <w:sz w:val="20"/>
        </w:rPr>
        <w:t xml:space="preserve">-Meier beregninger av den midlere DL og TTP i reagerende individer var henholdsvis 22,3+ og 25,2+ måneder (29).  Tidligere kombinasjonsstudier av interferon-alfa og kjemoterapeutiske regimer inneholdende </w:t>
      </w:r>
      <w:proofErr w:type="spellStart"/>
      <w:r w:rsidRPr="002646AD">
        <w:rPr>
          <w:rFonts w:ascii="Verdana" w:hAnsi="Verdana"/>
          <w:sz w:val="20"/>
        </w:rPr>
        <w:t>antracykliner</w:t>
      </w:r>
      <w:proofErr w:type="spellEnd"/>
      <w:r w:rsidRPr="002646AD">
        <w:rPr>
          <w:rFonts w:ascii="Verdana" w:hAnsi="Verdana"/>
          <w:sz w:val="20"/>
        </w:rPr>
        <w:t xml:space="preserve"> ga forlenget tid til progresjon, men øket ikke konsistent re</w:t>
      </w:r>
      <w:r w:rsidRPr="002646AD">
        <w:rPr>
          <w:rFonts w:ascii="Verdana" w:hAnsi="Verdana"/>
          <w:sz w:val="20"/>
        </w:rPr>
        <w:softHyphen/>
        <w:t>spons eller overlevelsesgrader (30-32).  Disse tidlige re</w:t>
      </w:r>
      <w:r w:rsidRPr="002646AD">
        <w:rPr>
          <w:rFonts w:ascii="Verdana" w:hAnsi="Verdana"/>
          <w:sz w:val="20"/>
        </w:rPr>
        <w:softHyphen/>
        <w:t xml:space="preserve">sultater antyder at kombinasjonen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og inter</w:t>
      </w:r>
      <w:r w:rsidRPr="002646AD">
        <w:rPr>
          <w:rFonts w:ascii="Verdana" w:hAnsi="Verdana"/>
          <w:sz w:val="20"/>
        </w:rPr>
        <w:softHyphen/>
        <w:t xml:space="preserve">feron-alfa kan forlenge progresjonstiden i forhold til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alene.</w:t>
      </w:r>
    </w:p>
    <w:p w:rsidR="001003C4" w:rsidRPr="002646AD" w:rsidRDefault="001003C4">
      <w:pPr>
        <w:rPr>
          <w:rFonts w:ascii="Verdana" w:hAnsi="Verdana"/>
          <w:sz w:val="20"/>
          <w:u w:val="single"/>
        </w:rPr>
      </w:pPr>
      <w:proofErr w:type="spellStart"/>
      <w:r w:rsidRPr="002646AD">
        <w:rPr>
          <w:rFonts w:ascii="Verdana" w:hAnsi="Verdana"/>
          <w:sz w:val="20"/>
          <w:u w:val="single"/>
        </w:rPr>
        <w:t>Rituximab</w:t>
      </w:r>
      <w:proofErr w:type="spellEnd"/>
      <w:r w:rsidRPr="002646AD">
        <w:rPr>
          <w:rFonts w:ascii="Verdana" w:hAnsi="Verdana"/>
          <w:sz w:val="20"/>
          <w:u w:val="single"/>
        </w:rPr>
        <w:sym w:font="Symbol" w:char="F0E2"/>
      </w:r>
      <w:r w:rsidRPr="002646AD">
        <w:rPr>
          <w:rFonts w:ascii="Verdana" w:hAnsi="Verdana"/>
          <w:sz w:val="20"/>
          <w:u w:val="single"/>
        </w:rPr>
        <w:t xml:space="preserve"> pluss G-CSF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 et separat studium blir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og G-CSF vurdert i lavgrads NHL med tilbakefall.  Vi har blitt vist in </w:t>
      </w:r>
      <w:proofErr w:type="spellStart"/>
      <w:r w:rsidRPr="002646AD">
        <w:rPr>
          <w:rFonts w:ascii="Verdana" w:hAnsi="Verdana"/>
          <w:sz w:val="20"/>
        </w:rPr>
        <w:t>vitro</w:t>
      </w:r>
      <w:proofErr w:type="spellEnd"/>
      <w:r w:rsidRPr="002646AD">
        <w:rPr>
          <w:rFonts w:ascii="Verdana" w:hAnsi="Verdana"/>
          <w:sz w:val="20"/>
        </w:rPr>
        <w:t xml:space="preserve"> så vel som in vivo i friske frivillige at G-CSF via dets effekt på </w:t>
      </w:r>
      <w:proofErr w:type="spellStart"/>
      <w:r w:rsidRPr="002646AD">
        <w:rPr>
          <w:rFonts w:ascii="Verdana" w:hAnsi="Verdana"/>
          <w:sz w:val="20"/>
        </w:rPr>
        <w:t>myeloide</w:t>
      </w:r>
      <w:proofErr w:type="spellEnd"/>
      <w:r w:rsidRPr="002646AD">
        <w:rPr>
          <w:rFonts w:ascii="Verdana" w:hAnsi="Verdana"/>
          <w:sz w:val="20"/>
        </w:rPr>
        <w:t xml:space="preserve"> forløperceller induserer </w:t>
      </w:r>
      <w:proofErr w:type="spellStart"/>
      <w:r w:rsidRPr="002646AD">
        <w:rPr>
          <w:rFonts w:ascii="Verdana" w:hAnsi="Verdana"/>
          <w:sz w:val="20"/>
        </w:rPr>
        <w:t>FcRI</w:t>
      </w:r>
      <w:proofErr w:type="spellEnd"/>
      <w:r w:rsidRPr="002646AD">
        <w:rPr>
          <w:rFonts w:ascii="Verdana" w:hAnsi="Verdana"/>
          <w:sz w:val="20"/>
        </w:rPr>
        <w:t xml:space="preserve">-positive </w:t>
      </w:r>
      <w:proofErr w:type="spellStart"/>
      <w:r w:rsidRPr="002646AD">
        <w:rPr>
          <w:rFonts w:ascii="Verdana" w:hAnsi="Verdana"/>
          <w:sz w:val="20"/>
        </w:rPr>
        <w:t>neutrofiler</w:t>
      </w:r>
      <w:proofErr w:type="spellEnd"/>
      <w:r w:rsidRPr="002646AD">
        <w:rPr>
          <w:rFonts w:ascii="Verdana" w:hAnsi="Verdana"/>
          <w:sz w:val="20"/>
        </w:rPr>
        <w:t xml:space="preserve"> som er i stand til å fungere som effektor-celler i ADCC.  Følgelig ble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fase I/II-studium satt i gang for å vurdere toksisiteten og effektiviteten av den kombinerte behandling.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Både i fase I og fase II ble pasienter administrert en standard dose av G-CSF (5 </w:t>
      </w:r>
      <w:r w:rsidRPr="002646AD">
        <w:rPr>
          <w:rFonts w:ascii="Verdana" w:hAnsi="Verdana"/>
          <w:sz w:val="20"/>
        </w:rPr>
        <w:t>g/kg/dag) administrert i tre da</w:t>
      </w:r>
      <w:r w:rsidRPr="002646AD">
        <w:rPr>
          <w:rFonts w:ascii="Verdana" w:hAnsi="Verdana"/>
          <w:sz w:val="20"/>
        </w:rPr>
        <w:softHyphen/>
        <w:t xml:space="preserve">ger ved å starte 2 dager før administrasjonen av </w:t>
      </w:r>
      <w:proofErr w:type="spellStart"/>
      <w:r w:rsidRPr="002646AD">
        <w:rPr>
          <w:rFonts w:ascii="Verdana" w:hAnsi="Verdana"/>
          <w:sz w:val="20"/>
        </w:rPr>
        <w:t>Rituxi</w:t>
      </w:r>
      <w:r w:rsidRPr="002646AD">
        <w:rPr>
          <w:rFonts w:ascii="Verdana" w:hAnsi="Verdana"/>
          <w:sz w:val="20"/>
        </w:rPr>
        <w:softHyphen/>
        <w:t>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.  Fase I besto av en økende dose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(125, 250 eller 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ukentlig x 4).  Tidlige resultater i 9 pasienter vurdert til nå ga en ORR på </w:t>
      </w:r>
      <w:proofErr w:type="gramStart"/>
      <w:r w:rsidRPr="002646AD">
        <w:rPr>
          <w:rFonts w:ascii="Verdana" w:hAnsi="Verdana"/>
          <w:sz w:val="20"/>
        </w:rPr>
        <w:t>67%</w:t>
      </w:r>
      <w:proofErr w:type="gramEnd"/>
      <w:r w:rsidRPr="002646AD">
        <w:rPr>
          <w:rFonts w:ascii="Verdana" w:hAnsi="Verdana"/>
          <w:sz w:val="20"/>
        </w:rPr>
        <w:t xml:space="preserve"> (44% CR, 22% PR) med liten toksisitet i 8 av de 9 pasientene (33).  De hyp</w:t>
      </w:r>
      <w:r w:rsidRPr="002646AD">
        <w:rPr>
          <w:rFonts w:ascii="Verdana" w:hAnsi="Verdana"/>
          <w:sz w:val="20"/>
        </w:rPr>
        <w:softHyphen/>
        <w:t xml:space="preserve">pigste negative hendelser var feber (4/8 pasienter), </w:t>
      </w:r>
      <w:proofErr w:type="spellStart"/>
      <w:r w:rsidRPr="002646AD">
        <w:rPr>
          <w:rFonts w:ascii="Verdana" w:hAnsi="Verdana"/>
          <w:sz w:val="20"/>
        </w:rPr>
        <w:t>rhini</w:t>
      </w:r>
      <w:r w:rsidRPr="002646AD">
        <w:rPr>
          <w:rFonts w:ascii="Verdana" w:hAnsi="Verdana"/>
          <w:sz w:val="20"/>
        </w:rPr>
        <w:softHyphen/>
        <w:t>tis</w:t>
      </w:r>
      <w:proofErr w:type="spellEnd"/>
      <w:r w:rsidRPr="002646AD">
        <w:rPr>
          <w:rFonts w:ascii="Verdana" w:hAnsi="Verdana"/>
          <w:sz w:val="20"/>
        </w:rPr>
        <w:t xml:space="preserve"> (4/8), kuldetokter (3/8) og hodepine (3/8), som kunne sammenlignes med de negative forhold observert tidligere ved administrasjonen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alene.  Fase II delen av studiet har blitt satt i gang som vil undersøke effekti</w:t>
      </w:r>
      <w:r w:rsidRPr="002646AD">
        <w:rPr>
          <w:rFonts w:ascii="Verdana" w:hAnsi="Verdana"/>
          <w:sz w:val="20"/>
        </w:rPr>
        <w:softHyphen/>
        <w:t>viteten av kombinasjonen av G-CSF og 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x 4.</w:t>
      </w:r>
    </w:p>
    <w:p w:rsidR="001003C4" w:rsidRPr="002646AD" w:rsidRDefault="001003C4">
      <w:pPr>
        <w:rPr>
          <w:rFonts w:ascii="Verdana" w:hAnsi="Verdana"/>
          <w:sz w:val="20"/>
          <w:u w:val="single"/>
        </w:rPr>
      </w:pPr>
      <w:proofErr w:type="spellStart"/>
      <w:r w:rsidRPr="002646AD">
        <w:rPr>
          <w:rFonts w:ascii="Verdana" w:hAnsi="Verdana"/>
          <w:sz w:val="20"/>
          <w:u w:val="single"/>
        </w:rPr>
        <w:t>Rituximab</w:t>
      </w:r>
      <w:proofErr w:type="spellEnd"/>
      <w:r w:rsidRPr="002646AD">
        <w:rPr>
          <w:rFonts w:ascii="Verdana" w:hAnsi="Verdana"/>
          <w:sz w:val="20"/>
          <w:u w:val="single"/>
        </w:rPr>
        <w:sym w:font="Symbol" w:char="F0E2"/>
      </w:r>
      <w:r w:rsidRPr="002646AD">
        <w:rPr>
          <w:rFonts w:ascii="Verdana" w:hAnsi="Verdana"/>
          <w:sz w:val="20"/>
          <w:u w:val="single"/>
        </w:rPr>
        <w:t xml:space="preserve"> pluss IL-2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Høydose-terapi med </w:t>
      </w:r>
      <w:proofErr w:type="spellStart"/>
      <w:r w:rsidRPr="002646AD">
        <w:rPr>
          <w:rFonts w:ascii="Verdana" w:hAnsi="Verdana"/>
          <w:sz w:val="20"/>
        </w:rPr>
        <w:t>autologe</w:t>
      </w:r>
      <w:proofErr w:type="spellEnd"/>
      <w:r w:rsidRPr="002646AD">
        <w:rPr>
          <w:rFonts w:ascii="Verdana" w:hAnsi="Verdana"/>
          <w:sz w:val="20"/>
        </w:rPr>
        <w:t xml:space="preserve"> perifere blodstamceller (PBSC) eller benmargs(BM) redning har blitt brukt til å behandle NHL, men suksess er begrenset av den høye risiko for til</w:t>
      </w:r>
      <w:r w:rsidRPr="002646AD">
        <w:rPr>
          <w:rFonts w:ascii="Verdana" w:hAnsi="Verdana"/>
          <w:sz w:val="20"/>
        </w:rPr>
        <w:softHyphen/>
        <w:t>bakefall som er 50-</w:t>
      </w:r>
      <w:proofErr w:type="gramStart"/>
      <w:r w:rsidRPr="002646AD">
        <w:rPr>
          <w:rFonts w:ascii="Verdana" w:hAnsi="Verdana"/>
          <w:sz w:val="20"/>
        </w:rPr>
        <w:t>80%</w:t>
      </w:r>
      <w:proofErr w:type="gramEnd"/>
      <w:r w:rsidRPr="002646AD">
        <w:rPr>
          <w:rFonts w:ascii="Verdana" w:hAnsi="Verdana"/>
          <w:sz w:val="20"/>
        </w:rPr>
        <w:t xml:space="preserve">.  I et forsøk på å forbedre varige remisjoner etter transplantasjon har </w:t>
      </w:r>
      <w:proofErr w:type="spellStart"/>
      <w:r w:rsidRPr="002646AD">
        <w:rPr>
          <w:rFonts w:ascii="Verdana" w:hAnsi="Verdana"/>
          <w:sz w:val="20"/>
        </w:rPr>
        <w:t>immunoterapi</w:t>
      </w:r>
      <w:proofErr w:type="spellEnd"/>
      <w:r w:rsidRPr="002646AD">
        <w:rPr>
          <w:rFonts w:ascii="Verdana" w:hAnsi="Verdana"/>
          <w:sz w:val="20"/>
        </w:rPr>
        <w:t xml:space="preserve"> innbefat</w:t>
      </w:r>
      <w:r w:rsidRPr="002646AD">
        <w:rPr>
          <w:rFonts w:ascii="Verdana" w:hAnsi="Verdana"/>
          <w:sz w:val="20"/>
        </w:rPr>
        <w:softHyphen/>
        <w:t xml:space="preserve">tende høydose- og lavdose-terapi </w:t>
      </w:r>
      <w:r w:rsidRPr="002646AD">
        <w:rPr>
          <w:rFonts w:ascii="Verdana" w:hAnsi="Verdana"/>
          <w:sz w:val="20"/>
        </w:rPr>
        <w:lastRenderedPageBreak/>
        <w:t>med IL-2 blitt studert i et antall behandlingssentre.  Slike studier har antydet at IL-2-terapi viser tidlig post-transplanta</w:t>
      </w:r>
      <w:r w:rsidRPr="002646AD">
        <w:rPr>
          <w:rFonts w:ascii="Verdana" w:hAnsi="Verdana"/>
          <w:sz w:val="20"/>
        </w:rPr>
        <w:softHyphen/>
        <w:t>sjon antitumor-aktivitet.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Initialt etter </w:t>
      </w:r>
      <w:proofErr w:type="spellStart"/>
      <w:r w:rsidRPr="002646AD">
        <w:rPr>
          <w:rFonts w:ascii="Verdana" w:hAnsi="Verdana"/>
          <w:sz w:val="20"/>
        </w:rPr>
        <w:t>autolog</w:t>
      </w:r>
      <w:proofErr w:type="spellEnd"/>
      <w:r w:rsidRPr="002646AD">
        <w:rPr>
          <w:rFonts w:ascii="Verdana" w:hAnsi="Verdana"/>
          <w:sz w:val="20"/>
        </w:rPr>
        <w:t xml:space="preserve"> transplantasjon, oppviser pasienter forsinket immunrekonstitusjon som potensielt resulterer i minsket </w:t>
      </w:r>
      <w:proofErr w:type="spellStart"/>
      <w:r w:rsidRPr="002646AD">
        <w:rPr>
          <w:rFonts w:ascii="Verdana" w:hAnsi="Verdana"/>
          <w:sz w:val="20"/>
        </w:rPr>
        <w:t>immunmediert</w:t>
      </w:r>
      <w:proofErr w:type="spellEnd"/>
      <w:r w:rsidRPr="002646AD">
        <w:rPr>
          <w:rFonts w:ascii="Verdana" w:hAnsi="Verdana"/>
          <w:sz w:val="20"/>
        </w:rPr>
        <w:t xml:space="preserve"> tumorfjerning (43, 44). Faktisk har det blitt vist at både CDS+ T-celler og </w:t>
      </w:r>
      <w:proofErr w:type="spellStart"/>
      <w:r w:rsidRPr="002646AD">
        <w:rPr>
          <w:rFonts w:ascii="Verdana" w:hAnsi="Verdana"/>
          <w:sz w:val="20"/>
        </w:rPr>
        <w:t>cytokine</w:t>
      </w:r>
      <w:proofErr w:type="spellEnd"/>
      <w:r w:rsidRPr="002646AD">
        <w:rPr>
          <w:rFonts w:ascii="Verdana" w:hAnsi="Verdana"/>
          <w:sz w:val="20"/>
        </w:rPr>
        <w:t xml:space="preserve"> CD8+ T-celler blir undertrykt (45-49).  In </w:t>
      </w:r>
      <w:proofErr w:type="spellStart"/>
      <w:r w:rsidRPr="002646AD">
        <w:rPr>
          <w:rFonts w:ascii="Verdana" w:hAnsi="Verdana"/>
          <w:sz w:val="20"/>
        </w:rPr>
        <w:t>vitro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assays</w:t>
      </w:r>
      <w:proofErr w:type="spellEnd"/>
      <w:r w:rsidRPr="002646AD">
        <w:rPr>
          <w:rFonts w:ascii="Verdana" w:hAnsi="Verdana"/>
          <w:sz w:val="20"/>
        </w:rPr>
        <w:t xml:space="preserve"> har vist en dyptgripende undertrykkelse av T-celle </w:t>
      </w:r>
      <w:proofErr w:type="spellStart"/>
      <w:r w:rsidRPr="002646AD">
        <w:rPr>
          <w:rFonts w:ascii="Verdana" w:hAnsi="Verdana"/>
          <w:sz w:val="20"/>
        </w:rPr>
        <w:t>cytolytiske</w:t>
      </w:r>
      <w:proofErr w:type="spellEnd"/>
      <w:r w:rsidRPr="002646AD">
        <w:rPr>
          <w:rFonts w:ascii="Verdana" w:hAnsi="Verdana"/>
          <w:sz w:val="20"/>
        </w:rPr>
        <w:t xml:space="preserve"> og </w:t>
      </w:r>
      <w:proofErr w:type="spellStart"/>
      <w:r w:rsidRPr="002646AD">
        <w:rPr>
          <w:rFonts w:ascii="Verdana" w:hAnsi="Verdana"/>
          <w:sz w:val="20"/>
        </w:rPr>
        <w:t>proliferative</w:t>
      </w:r>
      <w:proofErr w:type="spellEnd"/>
      <w:r w:rsidRPr="002646AD">
        <w:rPr>
          <w:rFonts w:ascii="Verdana" w:hAnsi="Verdana"/>
          <w:sz w:val="20"/>
        </w:rPr>
        <w:t xml:space="preserve"> responser så vel som minsket produksjon av IL-2 som svar på </w:t>
      </w:r>
      <w:proofErr w:type="spellStart"/>
      <w:r w:rsidRPr="002646AD">
        <w:rPr>
          <w:rFonts w:ascii="Verdana" w:hAnsi="Verdana"/>
          <w:sz w:val="20"/>
        </w:rPr>
        <w:t>mitogener</w:t>
      </w:r>
      <w:proofErr w:type="spellEnd"/>
      <w:r w:rsidRPr="002646AD">
        <w:rPr>
          <w:rFonts w:ascii="Verdana" w:hAnsi="Verdana"/>
          <w:sz w:val="20"/>
        </w:rPr>
        <w:t xml:space="preserve"> og oppløselige antigener.  Imid</w:t>
      </w:r>
      <w:r w:rsidRPr="002646AD">
        <w:rPr>
          <w:rFonts w:ascii="Verdana" w:hAnsi="Verdana"/>
          <w:sz w:val="20"/>
        </w:rPr>
        <w:softHyphen/>
        <w:t xml:space="preserve">lertid er oppløselige IL-2 i stand til å restaurere disse immunresponser, noe som antyder at immunceller i pasienter etter </w:t>
      </w:r>
      <w:proofErr w:type="spellStart"/>
      <w:r w:rsidRPr="002646AD">
        <w:rPr>
          <w:rFonts w:ascii="Verdana" w:hAnsi="Verdana"/>
          <w:sz w:val="20"/>
        </w:rPr>
        <w:t>autolog</w:t>
      </w:r>
      <w:proofErr w:type="spellEnd"/>
      <w:r w:rsidRPr="002646AD">
        <w:rPr>
          <w:rFonts w:ascii="Verdana" w:hAnsi="Verdana"/>
          <w:sz w:val="20"/>
        </w:rPr>
        <w:t xml:space="preserve"> transplantasjon er i stand til å reagere på eksogen IL-2 (47).  Perifer blod NK-aktivitet forblir også lavere etter BMT enn kontrollverdier og NK-aktiviteten er også forsterket ved tilsetning av eksogen IL-2 (49).  Disse data antyder at administrasjonen av IL-2 til pasienter kort etter stamcelle-transplantasjon kan øke </w:t>
      </w:r>
      <w:proofErr w:type="spellStart"/>
      <w:r w:rsidRPr="002646AD">
        <w:rPr>
          <w:rFonts w:ascii="Verdana" w:hAnsi="Verdana"/>
          <w:sz w:val="20"/>
        </w:rPr>
        <w:t>immunresponsivitet</w:t>
      </w:r>
      <w:proofErr w:type="spellEnd"/>
      <w:r w:rsidRPr="002646AD">
        <w:rPr>
          <w:rFonts w:ascii="Verdana" w:hAnsi="Verdana"/>
          <w:sz w:val="20"/>
        </w:rPr>
        <w:t xml:space="preserve"> ved en kritisk periode når svulstbyrden er minimal og når </w:t>
      </w:r>
      <w:proofErr w:type="spellStart"/>
      <w:r w:rsidRPr="002646AD">
        <w:rPr>
          <w:rFonts w:ascii="Verdana" w:hAnsi="Verdana"/>
          <w:sz w:val="20"/>
        </w:rPr>
        <w:t>immunresponsivitet</w:t>
      </w:r>
      <w:proofErr w:type="spellEnd"/>
      <w:r w:rsidRPr="002646AD">
        <w:rPr>
          <w:rFonts w:ascii="Verdana" w:hAnsi="Verdana"/>
          <w:sz w:val="20"/>
        </w:rPr>
        <w:t xml:space="preserve"> ved fravær av IL-2 mangler.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For eksempel har </w:t>
      </w:r>
      <w:proofErr w:type="spellStart"/>
      <w:r w:rsidRPr="002646AD">
        <w:rPr>
          <w:rFonts w:ascii="Verdana" w:hAnsi="Verdana"/>
          <w:sz w:val="20"/>
        </w:rPr>
        <w:t>Caligiuru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al. vist at IL-2 (Hoffman-</w:t>
      </w:r>
      <w:proofErr w:type="spellStart"/>
      <w:r w:rsidRPr="002646AD">
        <w:rPr>
          <w:rFonts w:ascii="Verdana" w:hAnsi="Verdana"/>
          <w:sz w:val="20"/>
        </w:rPr>
        <w:t>LaRoche</w:t>
      </w:r>
      <w:proofErr w:type="spellEnd"/>
      <w:r w:rsidRPr="002646AD">
        <w:rPr>
          <w:rFonts w:ascii="Verdana" w:hAnsi="Verdana"/>
          <w:sz w:val="20"/>
        </w:rPr>
        <w:t>) administrert ved 0,45 x 10</w:t>
      </w:r>
      <w:r w:rsidRPr="002646AD">
        <w:rPr>
          <w:rFonts w:ascii="Verdana" w:hAnsi="Verdana"/>
          <w:sz w:val="20"/>
          <w:vertAlign w:val="superscript"/>
        </w:rPr>
        <w:t>6</w:t>
      </w:r>
      <w:r w:rsidRPr="002646AD">
        <w:rPr>
          <w:rFonts w:ascii="Verdana" w:hAnsi="Verdana"/>
          <w:sz w:val="20"/>
        </w:rPr>
        <w:t xml:space="preserve"> U/M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>/dag ved 24 timers CIV i 12 uker var i stand til å utvide det absolutte antall CD56 lyse NK-celler (50-52).  Dette regimet ble administ</w:t>
      </w:r>
      <w:r w:rsidRPr="002646AD">
        <w:rPr>
          <w:rFonts w:ascii="Verdana" w:hAnsi="Verdana"/>
          <w:sz w:val="20"/>
        </w:rPr>
        <w:softHyphen/>
        <w:t xml:space="preserve">rert til ikke-transplantasjonspasienter i </w:t>
      </w:r>
      <w:proofErr w:type="spellStart"/>
      <w:r w:rsidRPr="002646AD">
        <w:rPr>
          <w:rFonts w:ascii="Verdana" w:hAnsi="Verdana"/>
          <w:sz w:val="20"/>
        </w:rPr>
        <w:t>utpasient</w:t>
      </w:r>
      <w:proofErr w:type="spellEnd"/>
      <w:r w:rsidRPr="002646AD">
        <w:rPr>
          <w:rFonts w:ascii="Verdana" w:hAnsi="Verdana"/>
          <w:sz w:val="20"/>
        </w:rPr>
        <w:t>-oppset</w:t>
      </w:r>
      <w:r w:rsidRPr="002646AD">
        <w:rPr>
          <w:rFonts w:ascii="Verdana" w:hAnsi="Verdana"/>
          <w:sz w:val="20"/>
        </w:rPr>
        <w:softHyphen/>
        <w:t>tet med lite toksisitet.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Dyremodeller har vist at ikke-LAK induserende lave doser av IL-2 dramatisk øker antitumor-aktivitet når administrert med tumor spesifikke T-effektor-celler (53).  I tillegg ad</w:t>
      </w:r>
      <w:r w:rsidRPr="002646AD">
        <w:rPr>
          <w:rFonts w:ascii="Verdana" w:hAnsi="Verdana"/>
          <w:sz w:val="20"/>
        </w:rPr>
        <w:softHyphen/>
        <w:t xml:space="preserve">ministrerte </w:t>
      </w:r>
      <w:proofErr w:type="spellStart"/>
      <w:r w:rsidRPr="002646AD">
        <w:rPr>
          <w:rFonts w:ascii="Verdana" w:hAnsi="Verdana"/>
          <w:sz w:val="20"/>
        </w:rPr>
        <w:t>Soiffer</w:t>
      </w:r>
      <w:proofErr w:type="spellEnd"/>
      <w:r w:rsidRPr="002646AD">
        <w:rPr>
          <w:rFonts w:ascii="Verdana" w:hAnsi="Verdana"/>
          <w:sz w:val="20"/>
        </w:rPr>
        <w:t xml:space="preserve"> et. al. (54) lave doser av IL-2 til 13 </w:t>
      </w:r>
      <w:proofErr w:type="spellStart"/>
      <w:r w:rsidRPr="002646AD">
        <w:rPr>
          <w:rFonts w:ascii="Verdana" w:hAnsi="Verdana"/>
          <w:sz w:val="20"/>
        </w:rPr>
        <w:t>autologe</w:t>
      </w:r>
      <w:proofErr w:type="spellEnd"/>
      <w:r w:rsidRPr="002646AD">
        <w:rPr>
          <w:rFonts w:ascii="Verdana" w:hAnsi="Verdana"/>
          <w:sz w:val="20"/>
        </w:rPr>
        <w:t xml:space="preserve"> BMT eller T-celle-reduserte allogene BMT-mottagere som undergår behandling for leukemi eller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med tilba</w:t>
      </w:r>
      <w:r w:rsidRPr="002646AD">
        <w:rPr>
          <w:rFonts w:ascii="Verdana" w:hAnsi="Verdana"/>
          <w:sz w:val="20"/>
        </w:rPr>
        <w:softHyphen/>
        <w:t>kefall.  Økede immunologiske reaksjoner ble vist i labora</w:t>
      </w:r>
      <w:r w:rsidRPr="002646AD">
        <w:rPr>
          <w:rFonts w:ascii="Verdana" w:hAnsi="Verdana"/>
          <w:sz w:val="20"/>
        </w:rPr>
        <w:softHyphen/>
        <w:t>toriet med en 5-40 gangers økning i sirkulerende CD56 lyse CD16+ CD3- NK-celler.  Videre resulterte dette lave dose</w:t>
      </w:r>
      <w:r w:rsidRPr="002646AD">
        <w:rPr>
          <w:rFonts w:ascii="Verdana" w:hAnsi="Verdana"/>
          <w:sz w:val="20"/>
        </w:rPr>
        <w:softHyphen/>
        <w:t xml:space="preserve">regimet av IL-2 i forsterket in </w:t>
      </w:r>
      <w:proofErr w:type="spellStart"/>
      <w:r w:rsidRPr="002646AD">
        <w:rPr>
          <w:rFonts w:ascii="Verdana" w:hAnsi="Verdana"/>
          <w:sz w:val="20"/>
        </w:rPr>
        <w:t>vitro</w:t>
      </w:r>
      <w:proofErr w:type="spellEnd"/>
      <w:r w:rsidRPr="002646AD">
        <w:rPr>
          <w:rFonts w:ascii="Verdana" w:hAnsi="Verdana"/>
          <w:sz w:val="20"/>
        </w:rPr>
        <w:t xml:space="preserve"> avlivning av NK-målene K562.  Når </w:t>
      </w:r>
      <w:proofErr w:type="spellStart"/>
      <w:r w:rsidRPr="002646AD">
        <w:rPr>
          <w:rFonts w:ascii="Verdana" w:hAnsi="Verdana"/>
          <w:sz w:val="20"/>
        </w:rPr>
        <w:t>Soiffer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al. (55) oppdaterte resulta</w:t>
      </w:r>
      <w:r w:rsidRPr="002646AD">
        <w:rPr>
          <w:rFonts w:ascii="Verdana" w:hAnsi="Verdana"/>
          <w:sz w:val="20"/>
        </w:rPr>
        <w:softHyphen/>
        <w:t>tene av 29 allogene BMT-pasienter som mottok lavdose IL-2, fant de overlegen overlevelse for disse pasienter (</w:t>
      </w:r>
      <w:proofErr w:type="gramStart"/>
      <w:r w:rsidRPr="002646AD">
        <w:rPr>
          <w:rFonts w:ascii="Verdana" w:hAnsi="Verdana"/>
          <w:sz w:val="20"/>
        </w:rPr>
        <w:t>70%</w:t>
      </w:r>
      <w:proofErr w:type="gramEnd"/>
      <w:r w:rsidRPr="002646AD">
        <w:rPr>
          <w:rFonts w:ascii="Verdana" w:hAnsi="Verdana"/>
          <w:sz w:val="20"/>
        </w:rPr>
        <w:t>) sammenlignet med histologiske kontroller (30%, p=0,41).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t>Lauria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al. (56) behandlet 11 pasienter med høygrads NHL ved et midlere på 42 dager etter ABMT med IL-2 med en dose på 2 x 10</w:t>
      </w:r>
      <w:r w:rsidRPr="002646AD">
        <w:rPr>
          <w:rFonts w:ascii="Verdana" w:hAnsi="Verdana"/>
          <w:sz w:val="20"/>
          <w:vertAlign w:val="superscript"/>
        </w:rPr>
        <w:t>6</w:t>
      </w:r>
      <w:r w:rsidRPr="002646AD">
        <w:rPr>
          <w:rFonts w:ascii="Verdana" w:hAnsi="Verdana"/>
          <w:sz w:val="20"/>
        </w:rPr>
        <w:t xml:space="preserve"> IU/m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qod</w:t>
      </w:r>
      <w:proofErr w:type="spellEnd"/>
      <w:r w:rsidRPr="002646AD">
        <w:rPr>
          <w:rFonts w:ascii="Verdana" w:hAnsi="Verdana"/>
          <w:sz w:val="20"/>
        </w:rPr>
        <w:t xml:space="preserve"> i to uker og så 3 x 10</w:t>
      </w:r>
      <w:r w:rsidRPr="002646AD">
        <w:rPr>
          <w:rFonts w:ascii="Verdana" w:hAnsi="Verdana"/>
          <w:sz w:val="20"/>
          <w:vertAlign w:val="superscript"/>
        </w:rPr>
        <w:t>6</w:t>
      </w:r>
      <w:r w:rsidRPr="002646AD">
        <w:rPr>
          <w:rFonts w:ascii="Verdana" w:hAnsi="Verdana"/>
          <w:sz w:val="20"/>
        </w:rPr>
        <w:t xml:space="preserve"> IU/m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to ganger ukentlig i et år.  Fenotypisk analyse viste en vedvarende og signifikant (p=0,001) økning i mengden og absolutt an</w:t>
      </w:r>
      <w:r w:rsidRPr="002646AD">
        <w:rPr>
          <w:rFonts w:ascii="Verdana" w:hAnsi="Verdana"/>
          <w:sz w:val="20"/>
        </w:rPr>
        <w:softHyphen/>
        <w:t xml:space="preserve">tall av totale lymfocytter og spesielt at både CD16 og CD56 NK-celler etter 6 måneders terapi.  Ingen av </w:t>
      </w:r>
      <w:r w:rsidRPr="002646AD">
        <w:rPr>
          <w:rFonts w:ascii="Verdana" w:hAnsi="Verdana"/>
          <w:sz w:val="20"/>
        </w:rPr>
        <w:lastRenderedPageBreak/>
        <w:t>pasientene fortsatte med en midlere oppfølging på 22 måneder (område 10-42 måneder) etter terapistart.  I tillegg oppnådde to pasienter med gjenværende sykdom etter ABMT, en i leveren og den andre i lymfeknutene, en fullstendig respons etter 7 og 10 måneders IL-2-terapi.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t>Vey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al. (57) behandlet 25 pasienter med </w:t>
      </w:r>
      <w:proofErr w:type="spellStart"/>
      <w:r w:rsidRPr="002646AD">
        <w:rPr>
          <w:rFonts w:ascii="Verdana" w:hAnsi="Verdana"/>
          <w:sz w:val="20"/>
        </w:rPr>
        <w:t>refraktorisk</w:t>
      </w:r>
      <w:proofErr w:type="spellEnd"/>
      <w:r w:rsidRPr="002646AD">
        <w:rPr>
          <w:rFonts w:ascii="Verdana" w:hAnsi="Verdana"/>
          <w:sz w:val="20"/>
        </w:rPr>
        <w:t xml:space="preserve"> eller tilbakevendt HD (11 pasienter) og NHL (14 pasienter) med lavdose IL-</w:t>
      </w:r>
      <w:proofErr w:type="gramStart"/>
      <w:r w:rsidRPr="002646AD">
        <w:rPr>
          <w:rFonts w:ascii="Verdana" w:hAnsi="Verdana"/>
          <w:sz w:val="20"/>
        </w:rPr>
        <w:t>2.  48</w:t>
      </w:r>
      <w:proofErr w:type="gramEnd"/>
      <w:r w:rsidRPr="002646AD">
        <w:rPr>
          <w:rFonts w:ascii="Verdana" w:hAnsi="Verdana"/>
          <w:sz w:val="20"/>
        </w:rPr>
        <w:t>% av pasientene hadde resistent sykdom med transplantasjon og 84% mottok CR etter ABMT.  IL-2 ble startet ved et gjennomsnitt på 54 dager etter transplanta</w:t>
      </w:r>
      <w:r w:rsidRPr="002646AD">
        <w:rPr>
          <w:rFonts w:ascii="Verdana" w:hAnsi="Verdana"/>
          <w:sz w:val="20"/>
        </w:rPr>
        <w:softHyphen/>
        <w:t>sjonen og besto av en første syklus på 5 dager fulgt av 4 sykler på 2 dager hver annen uke.   Pasienter mottok et gjennomsnitt på 160 x 10</w:t>
      </w:r>
      <w:r w:rsidRPr="002646AD">
        <w:rPr>
          <w:rFonts w:ascii="Verdana" w:hAnsi="Verdana"/>
          <w:sz w:val="20"/>
          <w:vertAlign w:val="superscript"/>
        </w:rPr>
        <w:t>6</w:t>
      </w:r>
      <w:r w:rsidRPr="002646AD">
        <w:rPr>
          <w:rFonts w:ascii="Verdana" w:hAnsi="Verdana"/>
          <w:sz w:val="20"/>
        </w:rPr>
        <w:t xml:space="preserve"> IU/m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av IL-2.  Etter en fem-års oppfølging er sannsynligheten for overlevelse og DFS </w:t>
      </w:r>
      <w:proofErr w:type="gramStart"/>
      <w:r w:rsidRPr="002646AD">
        <w:rPr>
          <w:rFonts w:ascii="Verdana" w:hAnsi="Verdana"/>
          <w:sz w:val="20"/>
        </w:rPr>
        <w:t>72%</w:t>
      </w:r>
      <w:proofErr w:type="gramEnd"/>
      <w:r w:rsidRPr="002646AD">
        <w:rPr>
          <w:rFonts w:ascii="Verdana" w:hAnsi="Verdana"/>
          <w:sz w:val="20"/>
        </w:rPr>
        <w:t xml:space="preserve"> (HD 73% og NHL 70%) og 45% (HD 36% og NHL 48%).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En gruppe ved The Fred </w:t>
      </w:r>
      <w:proofErr w:type="spellStart"/>
      <w:r w:rsidRPr="002646AD">
        <w:rPr>
          <w:rFonts w:ascii="Verdana" w:hAnsi="Verdana"/>
          <w:sz w:val="20"/>
        </w:rPr>
        <w:t>Hutchinson</w:t>
      </w:r>
      <w:proofErr w:type="spellEnd"/>
      <w:r w:rsidRPr="002646AD">
        <w:rPr>
          <w:rFonts w:ascii="Verdana" w:hAnsi="Verdana"/>
          <w:sz w:val="20"/>
        </w:rPr>
        <w:t xml:space="preserve"> Cancer Research Center (FHCRC) har nylig funnet at lavdose IL-2-terapi ble godt tolerert i utepasient-oppsettet og at remisjonen i pasien</w:t>
      </w:r>
      <w:r w:rsidRPr="002646AD">
        <w:rPr>
          <w:rFonts w:ascii="Verdana" w:hAnsi="Verdana"/>
          <w:sz w:val="20"/>
        </w:rPr>
        <w:softHyphen/>
        <w:t>ter behandlet med lavdose IL-2 hadde en tendens til å være lenger enn uten IL-2-behandling.  IL-2-terapi ble assosiert med en økning i antallet av visse populasjoner av immun</w:t>
      </w:r>
      <w:r w:rsidRPr="002646AD">
        <w:rPr>
          <w:rFonts w:ascii="Verdana" w:hAnsi="Verdana"/>
          <w:sz w:val="20"/>
        </w:rPr>
        <w:softHyphen/>
        <w:t>celler innbefattende CD8+ CD69+-celler; CD16+ CD8+-celler; CD16+ CD69+-celler; CD16+ CD56+-celler; CD16+ CD122+-cel</w:t>
      </w:r>
      <w:r w:rsidRPr="002646AD">
        <w:rPr>
          <w:rFonts w:ascii="Verdana" w:hAnsi="Verdana"/>
          <w:sz w:val="20"/>
        </w:rPr>
        <w:softHyphen/>
        <w:t xml:space="preserve">ler; CD16+ Dr+-celler og CD8+ CD56+-celler.  Det fantes også en økning i ekspresjonen av </w:t>
      </w:r>
      <w:proofErr w:type="spellStart"/>
      <w:r w:rsidRPr="002646AD">
        <w:rPr>
          <w:rFonts w:ascii="Verdana" w:hAnsi="Verdana"/>
          <w:sz w:val="20"/>
        </w:rPr>
        <w:t>lytisk</w:t>
      </w:r>
      <w:proofErr w:type="spellEnd"/>
      <w:r w:rsidRPr="002646AD">
        <w:rPr>
          <w:rFonts w:ascii="Verdana" w:hAnsi="Verdana"/>
          <w:sz w:val="20"/>
        </w:rPr>
        <w:t xml:space="preserve"> aktivitet mot timor-målene K562 og </w:t>
      </w:r>
      <w:proofErr w:type="spellStart"/>
      <w:r w:rsidRPr="002646AD">
        <w:rPr>
          <w:rFonts w:ascii="Verdana" w:hAnsi="Verdana"/>
          <w:sz w:val="20"/>
        </w:rPr>
        <w:t>Daudi</w:t>
      </w:r>
      <w:proofErr w:type="spellEnd"/>
      <w:r w:rsidRPr="002646AD">
        <w:rPr>
          <w:rFonts w:ascii="Verdana" w:hAnsi="Verdana"/>
          <w:sz w:val="20"/>
        </w:rPr>
        <w:t xml:space="preserve"> med et gjennomsnitt på henholds</w:t>
      </w:r>
      <w:r w:rsidRPr="002646AD">
        <w:rPr>
          <w:rFonts w:ascii="Verdana" w:hAnsi="Verdana"/>
          <w:sz w:val="20"/>
        </w:rPr>
        <w:softHyphen/>
        <w:t>vis 5,9 gangers og 6,5 gangers økning.  Tilbakefall når de inn</w:t>
      </w:r>
      <w:r w:rsidRPr="002646AD">
        <w:rPr>
          <w:rFonts w:ascii="Verdana" w:hAnsi="Verdana"/>
          <w:sz w:val="20"/>
        </w:rPr>
        <w:softHyphen/>
        <w:t>traff, opptrådte ved et middel på 17,8 måneder etter trans</w:t>
      </w:r>
      <w:r w:rsidRPr="002646AD">
        <w:rPr>
          <w:rFonts w:ascii="Verdana" w:hAnsi="Verdana"/>
          <w:sz w:val="20"/>
        </w:rPr>
        <w:softHyphen/>
        <w:t>plantasjon og følgelig ble remisjoner rapportert til karak</w:t>
      </w:r>
      <w:r w:rsidRPr="002646AD">
        <w:rPr>
          <w:rFonts w:ascii="Verdana" w:hAnsi="Verdana"/>
          <w:sz w:val="20"/>
        </w:rPr>
        <w:softHyphen/>
        <w:t>teristisk å være lenger enn hva som ble historisk observert i transplantasjonsmottagere uten IL-2-terapi.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Gitt de oppmuntrende data innsamlet fra enkelt-terapi-stu</w:t>
      </w:r>
      <w:r w:rsidRPr="002646AD">
        <w:rPr>
          <w:rFonts w:ascii="Verdana" w:hAnsi="Verdana"/>
          <w:sz w:val="20"/>
        </w:rPr>
        <w:softHyphen/>
        <w:t xml:space="preserve">dier med IL-2 på ABMT transplantasjonsmottagere, syntes det rimelig å kombinere IL-2-terapi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etter transplantasjon gitt at den biologiske aktivitet av </w:t>
      </w:r>
      <w:proofErr w:type="spellStart"/>
      <w:r w:rsidRPr="002646AD">
        <w:rPr>
          <w:rFonts w:ascii="Verdana" w:hAnsi="Verdana"/>
          <w:sz w:val="20"/>
        </w:rPr>
        <w:t>Rituxi</w:t>
      </w:r>
      <w:r w:rsidRPr="002646AD">
        <w:rPr>
          <w:rFonts w:ascii="Verdana" w:hAnsi="Verdana"/>
          <w:sz w:val="20"/>
        </w:rPr>
        <w:softHyphen/>
        <w:t>mab</w:t>
      </w:r>
      <w:proofErr w:type="spellEnd"/>
      <w:r w:rsidRPr="002646AD">
        <w:rPr>
          <w:rFonts w:ascii="Verdana" w:hAnsi="Verdana"/>
          <w:sz w:val="20"/>
        </w:rPr>
        <w:t xml:space="preserve"> synes å være fremmet via ADCC og komplement-mediert </w:t>
      </w:r>
      <w:proofErr w:type="spellStart"/>
      <w:r w:rsidRPr="002646AD">
        <w:rPr>
          <w:rFonts w:ascii="Verdana" w:hAnsi="Verdana"/>
          <w:sz w:val="20"/>
        </w:rPr>
        <w:t>lytisk</w:t>
      </w:r>
      <w:proofErr w:type="spellEnd"/>
      <w:r w:rsidRPr="002646AD">
        <w:rPr>
          <w:rFonts w:ascii="Verdana" w:hAnsi="Verdana"/>
          <w:sz w:val="20"/>
        </w:rPr>
        <w:t xml:space="preserve"> aktivitet.  Således har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fase I forsøk blitt satt i gang i samarbeid med FHCRC for å vurdere sik</w:t>
      </w:r>
      <w:r w:rsidRPr="002646AD">
        <w:rPr>
          <w:rFonts w:ascii="Verdana" w:hAnsi="Verdana"/>
          <w:sz w:val="20"/>
        </w:rPr>
        <w:softHyphen/>
        <w:t>kerheten og den potensielle effektivitet av et kombinert terapeutisk regime.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Et separat fase II-studium blir også utført for å vurdere effektiviteten og hyppigheten av HACA-dannelse i pasienter som mottar lavdose IL-2 og </w:t>
      </w:r>
      <w:proofErr w:type="spellStart"/>
      <w:r w:rsidRPr="002646AD">
        <w:rPr>
          <w:rFonts w:ascii="Verdana" w:hAnsi="Verdana"/>
          <w:sz w:val="20"/>
        </w:rPr>
        <w:t>Ritukxan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>.  Et spesielt mål for dette studium er å undersøke hvorvidt ADCC blir øket ved in vivo eksponering til IL-2 og hvorvidt ADCC-aktivitet korre</w:t>
      </w:r>
      <w:r w:rsidRPr="002646AD">
        <w:rPr>
          <w:rFonts w:ascii="Verdana" w:hAnsi="Verdana"/>
          <w:sz w:val="20"/>
        </w:rPr>
        <w:softHyphen/>
        <w:t xml:space="preserve">lerer med klinisk respons.  </w:t>
      </w:r>
      <w:r w:rsidRPr="002646AD">
        <w:rPr>
          <w:rFonts w:ascii="Verdana" w:hAnsi="Verdana"/>
          <w:sz w:val="20"/>
        </w:rPr>
        <w:lastRenderedPageBreak/>
        <w:t>Inklusjonskriterier for pasien</w:t>
      </w:r>
      <w:r w:rsidRPr="002646AD">
        <w:rPr>
          <w:rFonts w:ascii="Verdana" w:hAnsi="Verdana"/>
          <w:sz w:val="20"/>
        </w:rPr>
        <w:softHyphen/>
        <w:t xml:space="preserve">ter er histologisk bekreftet stadium II-IV </w:t>
      </w:r>
      <w:proofErr w:type="spellStart"/>
      <w:r w:rsidRPr="002646AD">
        <w:rPr>
          <w:rFonts w:ascii="Verdana" w:hAnsi="Verdana"/>
          <w:sz w:val="20"/>
        </w:rPr>
        <w:t>lavgrad</w:t>
      </w:r>
      <w:proofErr w:type="spellEnd"/>
      <w:r w:rsidRPr="002646AD">
        <w:rPr>
          <w:rFonts w:ascii="Verdana" w:hAnsi="Verdana"/>
          <w:sz w:val="20"/>
        </w:rPr>
        <w:t xml:space="preserve"> folliku</w:t>
      </w:r>
      <w:r w:rsidRPr="002646AD">
        <w:rPr>
          <w:rFonts w:ascii="Verdana" w:hAnsi="Verdana"/>
          <w:sz w:val="20"/>
        </w:rPr>
        <w:softHyphen/>
        <w:t>lær B-celle eller mantel-celle-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>.  Mantel-celle-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for formålene med dette kliniske studium blir definert som CD5+, CD23- (om tilgjengelig) og/eller bcl-1+ ved </w:t>
      </w:r>
      <w:proofErr w:type="spellStart"/>
      <w:r w:rsidRPr="002646AD">
        <w:rPr>
          <w:rFonts w:ascii="Verdana" w:hAnsi="Verdana"/>
          <w:sz w:val="20"/>
        </w:rPr>
        <w:t>immuno</w:t>
      </w:r>
      <w:r w:rsidRPr="002646AD">
        <w:rPr>
          <w:rFonts w:ascii="Verdana" w:hAnsi="Verdana"/>
          <w:sz w:val="20"/>
        </w:rPr>
        <w:softHyphen/>
        <w:t>histokjemi</w:t>
      </w:r>
      <w:proofErr w:type="spellEnd"/>
      <w:r w:rsidRPr="002646AD">
        <w:rPr>
          <w:rFonts w:ascii="Verdana" w:hAnsi="Verdana"/>
          <w:sz w:val="20"/>
        </w:rPr>
        <w:t xml:space="preserve">.  Pasienter som ikke reagerte på eller har fått tilbakefall etter deres første behandling med en standard terapi, dvs. kjemoterapi, radioterapi, ABMT og/eller </w:t>
      </w:r>
      <w:proofErr w:type="spellStart"/>
      <w:r w:rsidRPr="002646AD">
        <w:rPr>
          <w:rFonts w:ascii="Verdana" w:hAnsi="Verdana"/>
          <w:sz w:val="20"/>
        </w:rPr>
        <w:t>immu</w:t>
      </w:r>
      <w:r w:rsidRPr="002646AD">
        <w:rPr>
          <w:rFonts w:ascii="Verdana" w:hAnsi="Verdana"/>
          <w:sz w:val="20"/>
        </w:rPr>
        <w:softHyphen/>
        <w:t>noterapi</w:t>
      </w:r>
      <w:proofErr w:type="spellEnd"/>
      <w:r w:rsidRPr="002646AD">
        <w:rPr>
          <w:rFonts w:ascii="Verdana" w:hAnsi="Verdana"/>
          <w:sz w:val="20"/>
        </w:rPr>
        <w:t>, kan brukes.</w:t>
      </w:r>
    </w:p>
    <w:p w:rsidR="001003C4" w:rsidRPr="002646AD" w:rsidRDefault="001003C4">
      <w:pPr>
        <w:rPr>
          <w:rFonts w:ascii="Verdana" w:hAnsi="Verdana"/>
          <w:sz w:val="20"/>
          <w:u w:val="single"/>
        </w:rPr>
      </w:pPr>
      <w:proofErr w:type="spellStart"/>
      <w:r w:rsidRPr="002646AD">
        <w:rPr>
          <w:rFonts w:ascii="Verdana" w:hAnsi="Verdana"/>
          <w:sz w:val="20"/>
          <w:u w:val="single"/>
        </w:rPr>
        <w:t>Rituximab</w:t>
      </w:r>
      <w:proofErr w:type="spellEnd"/>
      <w:r w:rsidRPr="002646AD">
        <w:rPr>
          <w:rFonts w:ascii="Verdana" w:hAnsi="Verdana"/>
          <w:sz w:val="20"/>
          <w:u w:val="single"/>
        </w:rPr>
        <w:sym w:font="Symbol" w:char="F0E2"/>
      </w:r>
      <w:r w:rsidRPr="002646AD">
        <w:rPr>
          <w:rFonts w:ascii="Verdana" w:hAnsi="Verdana"/>
          <w:sz w:val="20"/>
          <w:u w:val="single"/>
        </w:rPr>
        <w:t xml:space="preserve"> pluss GM-CSF for behandling av tilbakevendt lavgrads eller follikulær B-celle-</w:t>
      </w:r>
      <w:proofErr w:type="spellStart"/>
      <w:r w:rsidRPr="002646AD">
        <w:rPr>
          <w:rFonts w:ascii="Verdana" w:hAnsi="Verdana"/>
          <w:sz w:val="20"/>
          <w:u w:val="single"/>
        </w:rPr>
        <w:t>lymfom</w:t>
      </w:r>
      <w:proofErr w:type="spellEnd"/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To separate </w:t>
      </w:r>
      <w:proofErr w:type="gramStart"/>
      <w:r w:rsidRPr="002646AD">
        <w:rPr>
          <w:rFonts w:ascii="Verdana" w:hAnsi="Verdana"/>
          <w:sz w:val="20"/>
        </w:rPr>
        <w:t>fase</w:t>
      </w:r>
      <w:proofErr w:type="gramEnd"/>
      <w:r w:rsidRPr="002646AD">
        <w:rPr>
          <w:rFonts w:ascii="Verdana" w:hAnsi="Verdana"/>
          <w:sz w:val="20"/>
        </w:rPr>
        <w:t xml:space="preserve"> II forsøk har også blitt satt i gang for å undersøke effektiviteten av kombinert behandling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og GM-CSF.  Et studium involverer 40 pasienter med tilbakevendt lavgrads B-celle-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og omfatter </w:t>
      </w:r>
      <w:proofErr w:type="gramStart"/>
      <w:r w:rsidRPr="002646AD">
        <w:rPr>
          <w:rFonts w:ascii="Verdana" w:hAnsi="Verdana"/>
          <w:sz w:val="20"/>
        </w:rPr>
        <w:t>å</w:t>
      </w:r>
      <w:proofErr w:type="gram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administre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ved 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ukentlig x 4 (dag 1, 8, 15, 22) og GM-CSF (</w:t>
      </w:r>
      <w:proofErr w:type="spellStart"/>
      <w:r w:rsidRPr="002646AD">
        <w:rPr>
          <w:rFonts w:ascii="Verdana" w:hAnsi="Verdana"/>
          <w:sz w:val="20"/>
        </w:rPr>
        <w:t>Leukine</w:t>
      </w:r>
      <w:proofErr w:type="spellEnd"/>
      <w:r w:rsidRPr="002646AD">
        <w:rPr>
          <w:rFonts w:ascii="Verdana" w:hAnsi="Verdana"/>
          <w:sz w:val="20"/>
        </w:rPr>
        <w:t xml:space="preserve">, Immunex) ved 250 </w:t>
      </w:r>
      <w:proofErr w:type="spellStart"/>
      <w:r w:rsidRPr="002646AD">
        <w:rPr>
          <w:rFonts w:ascii="Verdana" w:hAnsi="Verdana"/>
          <w:sz w:val="20"/>
        </w:rPr>
        <w:t>mcg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sc</w:t>
      </w:r>
      <w:proofErr w:type="spellEnd"/>
      <w:r w:rsidRPr="002646AD">
        <w:rPr>
          <w:rFonts w:ascii="Verdana" w:hAnsi="Verdana"/>
          <w:sz w:val="20"/>
        </w:rPr>
        <w:t xml:space="preserve"> tre ganger ukentlig i 8 uker ved å starte en time før første dose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>.  Dette studium vil bli benyttet for å vurdere den kliniske effektivitet (total responsgrad (ORR), total fullstendig responsgrad, tid til progresjons og sviktfri overlevelse) av det kombinerte terapeutiske regi</w:t>
      </w:r>
      <w:r w:rsidRPr="002646AD">
        <w:rPr>
          <w:rFonts w:ascii="Verdana" w:hAnsi="Verdana"/>
          <w:sz w:val="20"/>
        </w:rPr>
        <w:softHyphen/>
        <w:t>met, for å karakterisere sikkerheten (kvalitativ, kvan</w:t>
      </w:r>
      <w:r w:rsidRPr="002646AD">
        <w:rPr>
          <w:rFonts w:ascii="Verdana" w:hAnsi="Verdana"/>
          <w:sz w:val="20"/>
        </w:rPr>
        <w:softHyphen/>
        <w:t>titativ, varighet og reversibilitet av uønskede hendelser) av den kombinerte terapi og bestemme effektene av den kom</w:t>
      </w:r>
      <w:r w:rsidRPr="002646AD">
        <w:rPr>
          <w:rFonts w:ascii="Verdana" w:hAnsi="Verdana"/>
          <w:sz w:val="20"/>
        </w:rPr>
        <w:softHyphen/>
        <w:t xml:space="preserve">binerte terapi på relevante lymfocytt </w:t>
      </w:r>
      <w:proofErr w:type="spellStart"/>
      <w:r w:rsidRPr="002646AD">
        <w:rPr>
          <w:rFonts w:ascii="Verdana" w:hAnsi="Verdana"/>
          <w:sz w:val="20"/>
        </w:rPr>
        <w:t>subset</w:t>
      </w:r>
      <w:proofErr w:type="spellEnd"/>
      <w:r w:rsidRPr="002646AD">
        <w:rPr>
          <w:rFonts w:ascii="Verdana" w:hAnsi="Verdana"/>
          <w:sz w:val="20"/>
        </w:rPr>
        <w:t xml:space="preserve"> og cytokiner.  Det andre studium sikter mot også å overvåke immunologiske </w:t>
      </w:r>
      <w:proofErr w:type="spellStart"/>
      <w:r w:rsidRPr="002646AD">
        <w:rPr>
          <w:rFonts w:ascii="Verdana" w:hAnsi="Verdana"/>
          <w:sz w:val="20"/>
        </w:rPr>
        <w:t>parametre</w:t>
      </w:r>
      <w:proofErr w:type="spellEnd"/>
      <w:r w:rsidRPr="002646AD">
        <w:rPr>
          <w:rFonts w:ascii="Verdana" w:hAnsi="Verdana"/>
          <w:sz w:val="20"/>
        </w:rPr>
        <w:t xml:space="preserve"> for å undersøke mekanismen for avliving (kompli</w:t>
      </w:r>
      <w:r w:rsidRPr="002646AD">
        <w:rPr>
          <w:rFonts w:ascii="Verdana" w:hAnsi="Verdana"/>
          <w:sz w:val="20"/>
        </w:rPr>
        <w:softHyphen/>
        <w:t xml:space="preserve">ment C3 og C4, CH50, </w:t>
      </w:r>
      <w:proofErr w:type="spellStart"/>
      <w:r w:rsidRPr="002646AD">
        <w:rPr>
          <w:rFonts w:ascii="Verdana" w:hAnsi="Verdana"/>
          <w:sz w:val="20"/>
        </w:rPr>
        <w:t>strømningscytometri</w:t>
      </w:r>
      <w:proofErr w:type="spellEnd"/>
      <w:r w:rsidRPr="002646AD">
        <w:rPr>
          <w:rFonts w:ascii="Verdana" w:hAnsi="Verdana"/>
          <w:sz w:val="20"/>
        </w:rPr>
        <w:t xml:space="preserve"> for CD3, CD4, CD8, CD16, CD19 og CD56 og ADCC-</w:t>
      </w:r>
      <w:proofErr w:type="spellStart"/>
      <w:r w:rsidRPr="002646AD">
        <w:rPr>
          <w:rFonts w:ascii="Verdana" w:hAnsi="Verdana"/>
          <w:sz w:val="20"/>
        </w:rPr>
        <w:t>assay</w:t>
      </w:r>
      <w:proofErr w:type="spellEnd"/>
      <w:r w:rsidRPr="002646AD">
        <w:rPr>
          <w:rFonts w:ascii="Verdana" w:hAnsi="Verdana"/>
          <w:sz w:val="20"/>
        </w:rPr>
        <w:t>).</w:t>
      </w:r>
    </w:p>
    <w:p w:rsidR="001003C4" w:rsidRPr="002646AD" w:rsidRDefault="001003C4">
      <w:pPr>
        <w:rPr>
          <w:rFonts w:ascii="Verdana" w:hAnsi="Verdana"/>
          <w:sz w:val="20"/>
          <w:u w:val="single"/>
        </w:rPr>
      </w:pPr>
      <w:proofErr w:type="spellStart"/>
      <w:r w:rsidRPr="002646AD">
        <w:rPr>
          <w:rFonts w:ascii="Verdana" w:hAnsi="Verdana"/>
          <w:sz w:val="20"/>
          <w:u w:val="single"/>
        </w:rPr>
        <w:t>Rituximab</w:t>
      </w:r>
      <w:proofErr w:type="spellEnd"/>
      <w:r w:rsidRPr="002646AD">
        <w:rPr>
          <w:rFonts w:ascii="Verdana" w:hAnsi="Verdana"/>
          <w:sz w:val="20"/>
          <w:u w:val="single"/>
        </w:rPr>
        <w:sym w:font="Symbol" w:char="F0E2"/>
      </w:r>
      <w:r w:rsidRPr="002646AD">
        <w:rPr>
          <w:rFonts w:ascii="Verdana" w:hAnsi="Verdana"/>
          <w:sz w:val="20"/>
          <w:u w:val="single"/>
        </w:rPr>
        <w:t xml:space="preserve"> pluss gamma-interferon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Gamma-interferon kan også være anvendelig i kombinert te</w:t>
      </w:r>
      <w:r w:rsidRPr="002646AD">
        <w:rPr>
          <w:rFonts w:ascii="Verdana" w:hAnsi="Verdana"/>
          <w:sz w:val="20"/>
        </w:rPr>
        <w:softHyphen/>
        <w:t xml:space="preserve">rapi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for å behandle pasienter med lavgrads eller </w:t>
      </w:r>
      <w:proofErr w:type="spellStart"/>
      <w:r w:rsidRPr="002646AD">
        <w:rPr>
          <w:rFonts w:ascii="Verdana" w:hAnsi="Verdana"/>
          <w:sz w:val="20"/>
        </w:rPr>
        <w:t>høyeregrads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>.  Det har nylig blitt funnet at gamma-interferon oppregulerer CD20-ekspresjon på multiple myelom (MM) pasient plasma-celler, pasient B-celler, så vel som på normale donor B-celler (</w:t>
      </w:r>
      <w:proofErr w:type="spellStart"/>
      <w:r w:rsidRPr="002646AD">
        <w:rPr>
          <w:rFonts w:ascii="Verdana" w:hAnsi="Verdana"/>
          <w:sz w:val="20"/>
        </w:rPr>
        <w:t>Treon</w:t>
      </w:r>
      <w:proofErr w:type="spellEnd"/>
      <w:r w:rsidRPr="002646AD">
        <w:rPr>
          <w:rFonts w:ascii="Verdana" w:hAnsi="Verdana"/>
          <w:sz w:val="20"/>
        </w:rPr>
        <w:t xml:space="preserve"> et al., Lugano, 1999).  Faktisk har </w:t>
      </w:r>
      <w:proofErr w:type="spellStart"/>
      <w:r w:rsidRPr="002646AD">
        <w:rPr>
          <w:rFonts w:ascii="Verdana" w:hAnsi="Verdana"/>
          <w:sz w:val="20"/>
        </w:rPr>
        <w:t>Treon</w:t>
      </w:r>
      <w:proofErr w:type="spellEnd"/>
      <w:r w:rsidRPr="002646AD">
        <w:rPr>
          <w:rFonts w:ascii="Verdana" w:hAnsi="Verdana"/>
          <w:sz w:val="20"/>
        </w:rPr>
        <w:t xml:space="preserve"> og </w:t>
      </w:r>
      <w:proofErr w:type="spellStart"/>
      <w:r w:rsidRPr="002646AD">
        <w:rPr>
          <w:rFonts w:ascii="Verdana" w:hAnsi="Verdana"/>
          <w:sz w:val="20"/>
        </w:rPr>
        <w:t>samarbeidere</w:t>
      </w:r>
      <w:proofErr w:type="spellEnd"/>
      <w:r w:rsidRPr="002646AD">
        <w:rPr>
          <w:rFonts w:ascii="Verdana" w:hAnsi="Verdana"/>
          <w:sz w:val="20"/>
        </w:rPr>
        <w:t xml:space="preserve"> vist at gamma-interferon forsterker binding av disse celler til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>.  In</w:t>
      </w:r>
      <w:r w:rsidRPr="002646AD">
        <w:rPr>
          <w:rFonts w:ascii="Verdana" w:hAnsi="Verdana"/>
          <w:sz w:val="20"/>
        </w:rPr>
        <w:softHyphen/>
        <w:t xml:space="preserve">duksjon av CD20-ekspresjonen på plasma-celler inntraff på en doseavhengig måte med oppregulering observert med så lite som 1 U/ml av interferon gamma.  Et platå inntraff ved et 100 U/ml ved 48 timer.  Således kan gamma-interferon også være gunstig når administrert i kombinasjon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>.</w:t>
      </w:r>
    </w:p>
    <w:p w:rsidR="001003C4" w:rsidRPr="002646AD" w:rsidRDefault="001003C4">
      <w:pPr>
        <w:rPr>
          <w:rFonts w:ascii="Verdana" w:hAnsi="Verdana"/>
          <w:b/>
          <w:sz w:val="20"/>
        </w:rPr>
      </w:pPr>
      <w:r w:rsidRPr="002646AD">
        <w:rPr>
          <w:rFonts w:ascii="Verdana" w:hAnsi="Verdana"/>
          <w:b/>
          <w:sz w:val="20"/>
        </w:rPr>
        <w:lastRenderedPageBreak/>
        <w:t>MELLOMGRADS OG HØYGRADS NHL</w:t>
      </w:r>
    </w:p>
    <w:p w:rsidR="001003C4" w:rsidRPr="002646AD" w:rsidRDefault="001003C4">
      <w:pPr>
        <w:pStyle w:val="Overskrift1"/>
        <w:keepLines w:val="0"/>
        <w:rPr>
          <w:rFonts w:ascii="Verdana" w:hAnsi="Verdana"/>
          <w:kern w:val="0"/>
          <w:sz w:val="20"/>
        </w:rPr>
      </w:pPr>
      <w:r w:rsidRPr="002646AD">
        <w:rPr>
          <w:rFonts w:ascii="Verdana" w:hAnsi="Verdana"/>
          <w:kern w:val="0"/>
          <w:sz w:val="20"/>
        </w:rPr>
        <w:t>Enkelt-middel studier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 et studium utført i Europa og Australia ble alternative doseringsoppsett vurdert i 54 </w:t>
      </w:r>
      <w:proofErr w:type="spellStart"/>
      <w:r w:rsidRPr="002646AD">
        <w:rPr>
          <w:rFonts w:ascii="Verdana" w:hAnsi="Verdana"/>
          <w:sz w:val="20"/>
        </w:rPr>
        <w:t>tilbakefalte</w:t>
      </w:r>
      <w:proofErr w:type="spellEnd"/>
      <w:r w:rsidRPr="002646AD">
        <w:rPr>
          <w:rFonts w:ascii="Verdana" w:hAnsi="Verdana"/>
          <w:sz w:val="20"/>
        </w:rPr>
        <w:t xml:space="preserve"> eller refrakto</w:t>
      </w:r>
      <w:r w:rsidRPr="002646AD">
        <w:rPr>
          <w:rFonts w:ascii="Verdana" w:hAnsi="Verdana"/>
          <w:sz w:val="20"/>
        </w:rPr>
        <w:softHyphen/>
        <w:t xml:space="preserve">riske intermediate- eller høygrads NHL-pasienter (34).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ble </w:t>
      </w:r>
      <w:proofErr w:type="spellStart"/>
      <w:r w:rsidRPr="002646AD">
        <w:rPr>
          <w:rFonts w:ascii="Verdana" w:hAnsi="Verdana"/>
          <w:sz w:val="20"/>
        </w:rPr>
        <w:t>infusert</w:t>
      </w:r>
      <w:proofErr w:type="spellEnd"/>
      <w:r w:rsidRPr="002646AD">
        <w:rPr>
          <w:rFonts w:ascii="Verdana" w:hAnsi="Verdana"/>
          <w:sz w:val="20"/>
        </w:rPr>
        <w:t xml:space="preserve"> ved 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ukentlig i 8 doser eller ved 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en gang fulgt av 500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ukentlig i 7 doser.  ORR var </w:t>
      </w:r>
      <w:proofErr w:type="gramStart"/>
      <w:r w:rsidRPr="002646AD">
        <w:rPr>
          <w:rFonts w:ascii="Verdana" w:hAnsi="Verdana"/>
          <w:sz w:val="20"/>
        </w:rPr>
        <w:t>31%</w:t>
      </w:r>
      <w:proofErr w:type="gramEnd"/>
      <w:r w:rsidRPr="002646AD">
        <w:rPr>
          <w:rFonts w:ascii="Verdana" w:hAnsi="Verdana"/>
          <w:sz w:val="20"/>
        </w:rPr>
        <w:t xml:space="preserve"> (CR 9%, PR 22%) og ingen signifikant forskjell mellom doseringsregimene ble observert.  Pasien</w:t>
      </w:r>
      <w:r w:rsidRPr="002646AD">
        <w:rPr>
          <w:rFonts w:ascii="Verdana" w:hAnsi="Verdana"/>
          <w:sz w:val="20"/>
        </w:rPr>
        <w:softHyphen/>
        <w:t>ter med diffus storcelle-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(N=30) hadde en ORR på </w:t>
      </w:r>
      <w:proofErr w:type="gramStart"/>
      <w:r w:rsidRPr="002646AD">
        <w:rPr>
          <w:rFonts w:ascii="Verdana" w:hAnsi="Verdana"/>
          <w:sz w:val="20"/>
        </w:rPr>
        <w:t>37%</w:t>
      </w:r>
      <w:proofErr w:type="gramEnd"/>
      <w:r w:rsidRPr="002646AD">
        <w:rPr>
          <w:rFonts w:ascii="Verdana" w:hAnsi="Verdana"/>
          <w:sz w:val="20"/>
        </w:rPr>
        <w:t xml:space="preserve"> og de med mantel-celle-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(N=12) hadde en ORR på 33%.</w:t>
      </w:r>
    </w:p>
    <w:p w:rsidR="001003C4" w:rsidRPr="002646AD" w:rsidRDefault="001003C4">
      <w:pPr>
        <w:pStyle w:val="Overskrift1"/>
        <w:keepLines w:val="0"/>
        <w:rPr>
          <w:rFonts w:ascii="Verdana" w:hAnsi="Verdana"/>
          <w:kern w:val="0"/>
          <w:sz w:val="20"/>
        </w:rPr>
      </w:pPr>
      <w:r w:rsidRPr="002646AD">
        <w:rPr>
          <w:rFonts w:ascii="Verdana" w:hAnsi="Verdana"/>
          <w:kern w:val="0"/>
          <w:sz w:val="20"/>
        </w:rPr>
        <w:t xml:space="preserve">Kombinasjon av </w:t>
      </w:r>
      <w:proofErr w:type="spellStart"/>
      <w:r w:rsidRPr="002646AD">
        <w:rPr>
          <w:rFonts w:ascii="Verdana" w:hAnsi="Verdana"/>
          <w:kern w:val="0"/>
          <w:sz w:val="20"/>
        </w:rPr>
        <w:t>Rituximab</w:t>
      </w:r>
      <w:proofErr w:type="spellEnd"/>
      <w:r w:rsidRPr="002646AD">
        <w:rPr>
          <w:rFonts w:ascii="Verdana" w:hAnsi="Verdana"/>
          <w:kern w:val="0"/>
          <w:sz w:val="20"/>
        </w:rPr>
        <w:sym w:font="Symbol" w:char="F0E2"/>
      </w:r>
      <w:r w:rsidRPr="002646AD">
        <w:rPr>
          <w:rFonts w:ascii="Verdana" w:hAnsi="Verdana"/>
          <w:kern w:val="0"/>
          <w:sz w:val="20"/>
        </w:rPr>
        <w:t xml:space="preserve"> og CHOP kjemoterapi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 et annet studium mottok 31 pasienter med mellomliggende eller høygrads NHL (19 kvinner, 12 menn, middels alder 49)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på dag 1 av hver av seks 21-dagers cykler av CHOP (35).  Av 30 </w:t>
      </w:r>
      <w:proofErr w:type="spellStart"/>
      <w:r w:rsidRPr="002646AD">
        <w:rPr>
          <w:rFonts w:ascii="Verdana" w:hAnsi="Verdana"/>
          <w:sz w:val="20"/>
        </w:rPr>
        <w:t>vurderbare</w:t>
      </w:r>
      <w:proofErr w:type="spellEnd"/>
      <w:r w:rsidRPr="002646AD">
        <w:rPr>
          <w:rFonts w:ascii="Verdana" w:hAnsi="Verdana"/>
          <w:sz w:val="20"/>
        </w:rPr>
        <w:t xml:space="preserve"> pasienter var det 19 CR (</w:t>
      </w:r>
      <w:proofErr w:type="gramStart"/>
      <w:r w:rsidRPr="002646AD">
        <w:rPr>
          <w:rFonts w:ascii="Verdana" w:hAnsi="Verdana"/>
          <w:sz w:val="20"/>
        </w:rPr>
        <w:t>63%</w:t>
      </w:r>
      <w:proofErr w:type="gramEnd"/>
      <w:r w:rsidRPr="002646AD">
        <w:rPr>
          <w:rFonts w:ascii="Verdana" w:hAnsi="Verdana"/>
          <w:sz w:val="20"/>
        </w:rPr>
        <w:t>) og 10 PR (33%) for en ORR på 96%.  Dette regimet ble be</w:t>
      </w:r>
      <w:r w:rsidRPr="002646AD">
        <w:rPr>
          <w:rFonts w:ascii="Verdana" w:hAnsi="Verdana"/>
          <w:sz w:val="20"/>
        </w:rPr>
        <w:softHyphen/>
        <w:t xml:space="preserve">traktet som godt tolerert og kan resultere i høyere </w:t>
      </w:r>
      <w:proofErr w:type="spellStart"/>
      <w:r w:rsidRPr="002646AD">
        <w:rPr>
          <w:rFonts w:ascii="Verdana" w:hAnsi="Verdana"/>
          <w:sz w:val="20"/>
        </w:rPr>
        <w:t>re</w:t>
      </w:r>
      <w:r w:rsidRPr="002646AD">
        <w:rPr>
          <w:rFonts w:ascii="Verdana" w:hAnsi="Verdana"/>
          <w:sz w:val="20"/>
        </w:rPr>
        <w:softHyphen/>
        <w:t>sponsgrader</w:t>
      </w:r>
      <w:proofErr w:type="spellEnd"/>
      <w:r w:rsidRPr="002646AD">
        <w:rPr>
          <w:rFonts w:ascii="Verdana" w:hAnsi="Verdana"/>
          <w:sz w:val="20"/>
        </w:rPr>
        <w:t xml:space="preserve"> enn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eller CHOP alene.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The NCI </w:t>
      </w:r>
      <w:proofErr w:type="spellStart"/>
      <w:r w:rsidRPr="002646AD">
        <w:rPr>
          <w:rFonts w:ascii="Verdana" w:hAnsi="Verdana"/>
          <w:sz w:val="20"/>
        </w:rPr>
        <w:t>Division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of</w:t>
      </w:r>
      <w:proofErr w:type="spellEnd"/>
      <w:r w:rsidRPr="002646AD">
        <w:rPr>
          <w:rFonts w:ascii="Verdana" w:hAnsi="Verdana"/>
          <w:sz w:val="20"/>
        </w:rPr>
        <w:t xml:space="preserve"> Cancer </w:t>
      </w:r>
      <w:proofErr w:type="spellStart"/>
      <w:r w:rsidRPr="002646AD">
        <w:rPr>
          <w:rFonts w:ascii="Verdana" w:hAnsi="Verdana"/>
          <w:sz w:val="20"/>
        </w:rPr>
        <w:t>Treatment</w:t>
      </w:r>
      <w:proofErr w:type="spellEnd"/>
      <w:r w:rsidRPr="002646AD">
        <w:rPr>
          <w:rFonts w:ascii="Verdana" w:hAnsi="Verdana"/>
          <w:sz w:val="20"/>
        </w:rPr>
        <w:t xml:space="preserve"> and </w:t>
      </w:r>
      <w:proofErr w:type="spellStart"/>
      <w:r w:rsidRPr="002646AD">
        <w:rPr>
          <w:rFonts w:ascii="Verdana" w:hAnsi="Verdana"/>
          <w:sz w:val="20"/>
        </w:rPr>
        <w:t>Diagnosis</w:t>
      </w:r>
      <w:proofErr w:type="spellEnd"/>
      <w:r w:rsidRPr="002646AD">
        <w:rPr>
          <w:rFonts w:ascii="Verdana" w:hAnsi="Verdana"/>
          <w:sz w:val="20"/>
        </w:rPr>
        <w:t xml:space="preserve"> sam</w:t>
      </w:r>
      <w:r w:rsidRPr="002646AD">
        <w:rPr>
          <w:rFonts w:ascii="Verdana" w:hAnsi="Verdana"/>
          <w:sz w:val="20"/>
        </w:rPr>
        <w:softHyphen/>
        <w:t>arbeider med IDEC Pharmaceuticals Corporation for å under</w:t>
      </w:r>
      <w:r w:rsidRPr="002646AD">
        <w:rPr>
          <w:rFonts w:ascii="Verdana" w:hAnsi="Verdana"/>
          <w:sz w:val="20"/>
        </w:rPr>
        <w:softHyphen/>
        <w:t xml:space="preserve">søke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-behandling angående andre indikasjoner. 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fase II forsøk av CHOP mot CHOP og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blir ut</w:t>
      </w:r>
      <w:r w:rsidRPr="002646AD">
        <w:rPr>
          <w:rFonts w:ascii="Verdana" w:hAnsi="Verdana"/>
          <w:sz w:val="20"/>
        </w:rPr>
        <w:softHyphen/>
        <w:t xml:space="preserve">ført av ECOG, CALGB og SWOG i eldre pasienter (&gt;60 år) med blandet, diffus storcelle og </w:t>
      </w:r>
      <w:proofErr w:type="spellStart"/>
      <w:r w:rsidRPr="002646AD">
        <w:rPr>
          <w:rFonts w:ascii="Verdana" w:hAnsi="Verdana"/>
          <w:sz w:val="20"/>
        </w:rPr>
        <w:t>immunoblastisk</w:t>
      </w:r>
      <w:proofErr w:type="spellEnd"/>
      <w:r w:rsidRPr="002646AD">
        <w:rPr>
          <w:rFonts w:ascii="Verdana" w:hAnsi="Verdana"/>
          <w:sz w:val="20"/>
        </w:rPr>
        <w:t xml:space="preserve"> storcelle his</w:t>
      </w:r>
      <w:r w:rsidRPr="002646AD">
        <w:rPr>
          <w:rFonts w:ascii="Verdana" w:hAnsi="Verdana"/>
          <w:sz w:val="20"/>
        </w:rPr>
        <w:softHyphen/>
        <w:t xml:space="preserve">tologi NHL (N=630 planlagt). Dette studium innbefatter en sekundær randomisering til opprettholdelse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mot ikke-opprettholdelse.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fase III forsøk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og CHOP i 40 pasienter med tidligere ubehandlet mantel-celle-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pågår også ved The Dana </w:t>
      </w:r>
      <w:proofErr w:type="spellStart"/>
      <w:r w:rsidRPr="002646AD">
        <w:rPr>
          <w:rFonts w:ascii="Verdana" w:hAnsi="Verdana"/>
          <w:sz w:val="20"/>
        </w:rPr>
        <w:t>Farber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Institute</w:t>
      </w:r>
      <w:proofErr w:type="spellEnd"/>
      <w:r w:rsidRPr="002646AD">
        <w:rPr>
          <w:rFonts w:ascii="Verdana" w:hAnsi="Verdana"/>
          <w:sz w:val="20"/>
        </w:rPr>
        <w:t xml:space="preserve">.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administreres på dag 1 og CHOP blir gitt på dag 1-3 hver 21. dag i 6 cykler.  Akkumulering for dette studium har blitt utført. 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fase II forsøk av CHOP fulgt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i nylig diagnosti</w:t>
      </w:r>
      <w:r w:rsidRPr="002646AD">
        <w:rPr>
          <w:rFonts w:ascii="Verdana" w:hAnsi="Verdana"/>
          <w:sz w:val="20"/>
        </w:rPr>
        <w:softHyphen/>
        <w:t>sert follikulær-</w:t>
      </w:r>
      <w:proofErr w:type="spellStart"/>
      <w:r w:rsidRPr="002646AD">
        <w:rPr>
          <w:rFonts w:ascii="Verdana" w:hAnsi="Verdana"/>
          <w:sz w:val="20"/>
        </w:rPr>
        <w:t>lymfom</w:t>
      </w:r>
      <w:proofErr w:type="spellEnd"/>
      <w:r w:rsidRPr="002646AD">
        <w:rPr>
          <w:rFonts w:ascii="Verdana" w:hAnsi="Verdana"/>
          <w:sz w:val="20"/>
        </w:rPr>
        <w:t xml:space="preserve"> utført av SWOG har også blitt ut</w:t>
      </w:r>
      <w:r w:rsidRPr="002646AD">
        <w:rPr>
          <w:rFonts w:ascii="Verdana" w:hAnsi="Verdana"/>
          <w:sz w:val="20"/>
        </w:rPr>
        <w:softHyphen/>
        <w:t>ført.  Resultater av disse to forsøk blir analysert.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fase II forsøk av CHOP og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mot CHOP alene i HIV-relatert NHL utført av The AIDS </w:t>
      </w:r>
      <w:proofErr w:type="spellStart"/>
      <w:r w:rsidRPr="002646AD">
        <w:rPr>
          <w:rFonts w:ascii="Verdana" w:hAnsi="Verdana"/>
          <w:sz w:val="20"/>
        </w:rPr>
        <w:t>Malignancy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Consortium</w:t>
      </w:r>
      <w:proofErr w:type="spellEnd"/>
      <w:r w:rsidRPr="002646AD">
        <w:rPr>
          <w:rFonts w:ascii="Verdana" w:hAnsi="Verdana"/>
          <w:sz w:val="20"/>
        </w:rPr>
        <w:t xml:space="preserve"> pågår; 120 pasienter er planlagt.</w:t>
      </w:r>
    </w:p>
    <w:p w:rsidR="001003C4" w:rsidRPr="002646AD" w:rsidRDefault="001003C4">
      <w:pPr>
        <w:pStyle w:val="Overskrift1"/>
        <w:keepLines w:val="0"/>
        <w:rPr>
          <w:rFonts w:ascii="Verdana" w:hAnsi="Verdana"/>
          <w:kern w:val="0"/>
          <w:sz w:val="20"/>
        </w:rPr>
      </w:pPr>
      <w:proofErr w:type="spellStart"/>
      <w:r w:rsidRPr="002646AD">
        <w:rPr>
          <w:rFonts w:ascii="Verdana" w:hAnsi="Verdana"/>
          <w:kern w:val="0"/>
          <w:sz w:val="20"/>
        </w:rPr>
        <w:lastRenderedPageBreak/>
        <w:t>Rituximab</w:t>
      </w:r>
      <w:proofErr w:type="spellEnd"/>
      <w:r w:rsidRPr="002646AD">
        <w:rPr>
          <w:rFonts w:ascii="Verdana" w:hAnsi="Verdana"/>
          <w:kern w:val="0"/>
          <w:sz w:val="20"/>
        </w:rPr>
        <w:sym w:font="Symbol" w:char="F0E2"/>
      </w:r>
      <w:r w:rsidRPr="002646AD">
        <w:rPr>
          <w:rFonts w:ascii="Verdana" w:hAnsi="Verdana"/>
          <w:kern w:val="0"/>
          <w:sz w:val="20"/>
        </w:rPr>
        <w:t xml:space="preserve"> etter </w:t>
      </w:r>
      <w:proofErr w:type="spellStart"/>
      <w:r w:rsidRPr="002646AD">
        <w:rPr>
          <w:rFonts w:ascii="Verdana" w:hAnsi="Verdana"/>
          <w:kern w:val="0"/>
          <w:sz w:val="20"/>
        </w:rPr>
        <w:t>Myeloablativ</w:t>
      </w:r>
      <w:proofErr w:type="spellEnd"/>
      <w:r w:rsidRPr="002646AD">
        <w:rPr>
          <w:rFonts w:ascii="Verdana" w:hAnsi="Verdana"/>
          <w:kern w:val="0"/>
          <w:sz w:val="20"/>
        </w:rPr>
        <w:t xml:space="preserve"> terapitilbakefall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har vist lovende tidlige resultater i pasien</w:t>
      </w:r>
      <w:r w:rsidRPr="002646AD">
        <w:rPr>
          <w:rFonts w:ascii="Verdana" w:hAnsi="Verdana"/>
          <w:sz w:val="20"/>
        </w:rPr>
        <w:softHyphen/>
        <w:t xml:space="preserve">ter med </w:t>
      </w:r>
      <w:proofErr w:type="spellStart"/>
      <w:r w:rsidRPr="002646AD">
        <w:rPr>
          <w:rFonts w:ascii="Verdana" w:hAnsi="Verdana"/>
          <w:sz w:val="20"/>
        </w:rPr>
        <w:t>tilbakefalt</w:t>
      </w:r>
      <w:proofErr w:type="spellEnd"/>
      <w:r w:rsidRPr="002646AD">
        <w:rPr>
          <w:rFonts w:ascii="Verdana" w:hAnsi="Verdana"/>
          <w:sz w:val="20"/>
        </w:rPr>
        <w:t xml:space="preserve"> mellomliggende grads NHL etter høydose-terapi med </w:t>
      </w:r>
      <w:proofErr w:type="spellStart"/>
      <w:r w:rsidRPr="002646AD">
        <w:rPr>
          <w:rFonts w:ascii="Verdana" w:hAnsi="Verdana"/>
          <w:sz w:val="20"/>
        </w:rPr>
        <w:t>autolog</w:t>
      </w:r>
      <w:proofErr w:type="spellEnd"/>
      <w:r w:rsidRPr="002646AD">
        <w:rPr>
          <w:rFonts w:ascii="Verdana" w:hAnsi="Verdana"/>
          <w:sz w:val="20"/>
        </w:rPr>
        <w:t xml:space="preserve"> PBSC-støtte.  Seks av syv pasienter reagerte (1 CR og 5 PR) og en pasient hadde stabil sykdom; terapi ble godt tolerert (36).</w:t>
      </w:r>
    </w:p>
    <w:p w:rsidR="001003C4" w:rsidRPr="002646AD" w:rsidRDefault="001003C4">
      <w:pPr>
        <w:pStyle w:val="Overskrift4"/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SIKKERHETSOPPLEVELSE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Uheldige hendelser og kliniske laboratoriedata fra 315 pa</w:t>
      </w:r>
      <w:r w:rsidRPr="002646AD">
        <w:rPr>
          <w:rFonts w:ascii="Verdana" w:hAnsi="Verdana"/>
          <w:sz w:val="20"/>
        </w:rPr>
        <w:softHyphen/>
        <w:t xml:space="preserve">sienter i de 5 enkeltmiddel U.S.-studier ble kombinert for å gi en sikkerhetsprofil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</w:rPr>
        <w:sym w:font="Symbol" w:char="F0E2"/>
      </w:r>
      <w:r w:rsidRPr="002646AD">
        <w:rPr>
          <w:rFonts w:ascii="Verdana" w:hAnsi="Verdana"/>
          <w:sz w:val="20"/>
        </w:rPr>
        <w:t xml:space="preserve"> i pasienter med lavgrads eller follikulær NHL.  Hoveddelen av disse uhel</w:t>
      </w:r>
      <w:r w:rsidRPr="002646AD">
        <w:rPr>
          <w:rFonts w:ascii="Verdana" w:hAnsi="Verdana"/>
          <w:sz w:val="20"/>
        </w:rPr>
        <w:softHyphen/>
        <w:t>dige hendelser var infusjonsrelaterte og opptrådte med min</w:t>
      </w:r>
      <w:r w:rsidRPr="002646AD">
        <w:rPr>
          <w:rFonts w:ascii="Verdana" w:hAnsi="Verdana"/>
          <w:sz w:val="20"/>
        </w:rPr>
        <w:softHyphen/>
        <w:t>kende frekvens etter første infusjon.  De første vanlige infusjonsrelaterte hendelser var feber (</w:t>
      </w:r>
      <w:proofErr w:type="gramStart"/>
      <w:r w:rsidRPr="002646AD">
        <w:rPr>
          <w:rFonts w:ascii="Verdana" w:hAnsi="Verdana"/>
          <w:sz w:val="20"/>
        </w:rPr>
        <w:t>49%</w:t>
      </w:r>
      <w:proofErr w:type="gramEnd"/>
      <w:r w:rsidRPr="002646AD">
        <w:rPr>
          <w:rFonts w:ascii="Verdana" w:hAnsi="Verdana"/>
          <w:sz w:val="20"/>
        </w:rPr>
        <w:t xml:space="preserve">), frysninger (32%), kvalme (18%), tretthet (16%), hodepine (14%), </w:t>
      </w:r>
      <w:proofErr w:type="spellStart"/>
      <w:r w:rsidRPr="002646AD">
        <w:rPr>
          <w:rFonts w:ascii="Verdana" w:hAnsi="Verdana"/>
          <w:sz w:val="20"/>
        </w:rPr>
        <w:t>angio</w:t>
      </w:r>
      <w:r w:rsidRPr="002646AD">
        <w:rPr>
          <w:rFonts w:ascii="Verdana" w:hAnsi="Verdana"/>
          <w:sz w:val="20"/>
        </w:rPr>
        <w:softHyphen/>
        <w:t>ødem</w:t>
      </w:r>
      <w:proofErr w:type="spellEnd"/>
      <w:r w:rsidRPr="002646AD">
        <w:rPr>
          <w:rFonts w:ascii="Verdana" w:hAnsi="Verdana"/>
          <w:sz w:val="20"/>
        </w:rPr>
        <w:t xml:space="preserve"> (13%), </w:t>
      </w:r>
      <w:proofErr w:type="spellStart"/>
      <w:r w:rsidRPr="002646AD">
        <w:rPr>
          <w:rFonts w:ascii="Verdana" w:hAnsi="Verdana"/>
          <w:sz w:val="20"/>
        </w:rPr>
        <w:t>pruritus</w:t>
      </w:r>
      <w:proofErr w:type="spellEnd"/>
      <w:r w:rsidRPr="002646AD">
        <w:rPr>
          <w:rFonts w:ascii="Verdana" w:hAnsi="Verdana"/>
          <w:sz w:val="20"/>
        </w:rPr>
        <w:t xml:space="preserve"> (10%) og av og til </w:t>
      </w:r>
      <w:proofErr w:type="spellStart"/>
      <w:r w:rsidRPr="002646AD">
        <w:rPr>
          <w:rFonts w:ascii="Verdana" w:hAnsi="Verdana"/>
          <w:sz w:val="20"/>
        </w:rPr>
        <w:t>hypotensjon</w:t>
      </w:r>
      <w:proofErr w:type="spellEnd"/>
      <w:r w:rsidRPr="002646AD">
        <w:rPr>
          <w:rFonts w:ascii="Verdana" w:hAnsi="Verdana"/>
          <w:sz w:val="20"/>
        </w:rPr>
        <w:t xml:space="preserve"> (10%) og bronkospasmer (8%).  Under behandlingsperioden (opptil 30 dager etter siste dose) opplevde </w:t>
      </w:r>
      <w:proofErr w:type="gramStart"/>
      <w:r w:rsidRPr="002646AD">
        <w:rPr>
          <w:rFonts w:ascii="Verdana" w:hAnsi="Verdana"/>
          <w:sz w:val="20"/>
        </w:rPr>
        <w:t>10%</w:t>
      </w:r>
      <w:proofErr w:type="gramEnd"/>
      <w:r w:rsidRPr="002646AD">
        <w:rPr>
          <w:rFonts w:ascii="Verdana" w:hAnsi="Verdana"/>
          <w:sz w:val="20"/>
        </w:rPr>
        <w:t xml:space="preserve"> av pasien</w:t>
      </w:r>
      <w:r w:rsidRPr="002646AD">
        <w:rPr>
          <w:rFonts w:ascii="Verdana" w:hAnsi="Verdana"/>
          <w:sz w:val="20"/>
        </w:rPr>
        <w:softHyphen/>
        <w:t>tene grad III eller grad IV uheldige hendelser som primært var infu</w:t>
      </w:r>
      <w:r w:rsidRPr="002646AD">
        <w:rPr>
          <w:rFonts w:ascii="Verdana" w:hAnsi="Verdana"/>
          <w:sz w:val="20"/>
        </w:rPr>
        <w:softHyphen/>
        <w:t xml:space="preserve">sjonsrelatert eller hematologiske.  </w:t>
      </w:r>
      <w:proofErr w:type="spellStart"/>
      <w:r w:rsidRPr="002646AD">
        <w:rPr>
          <w:rFonts w:ascii="Verdana" w:hAnsi="Verdana"/>
          <w:sz w:val="20"/>
        </w:rPr>
        <w:t>Trombocytopenia</w:t>
      </w:r>
      <w:proofErr w:type="spellEnd"/>
      <w:r w:rsidRPr="002646AD">
        <w:rPr>
          <w:rFonts w:ascii="Verdana" w:hAnsi="Verdana"/>
          <w:sz w:val="20"/>
        </w:rPr>
        <w:t xml:space="preserve"> (&lt;50.000 blodplater/mm</w:t>
      </w:r>
      <w:r w:rsidRPr="002646AD">
        <w:rPr>
          <w:rFonts w:ascii="Verdana" w:hAnsi="Verdana"/>
          <w:sz w:val="20"/>
          <w:vertAlign w:val="superscript"/>
        </w:rPr>
        <w:t>3</w:t>
      </w:r>
      <w:r w:rsidRPr="002646AD">
        <w:rPr>
          <w:rFonts w:ascii="Verdana" w:hAnsi="Verdana"/>
          <w:sz w:val="20"/>
        </w:rPr>
        <w:t xml:space="preserve">) inntraff </w:t>
      </w:r>
      <w:proofErr w:type="gramStart"/>
      <w:r w:rsidRPr="002646AD">
        <w:rPr>
          <w:rFonts w:ascii="Verdana" w:hAnsi="Verdana"/>
          <w:sz w:val="20"/>
        </w:rPr>
        <w:t>i  1</w:t>
      </w:r>
      <w:proofErr w:type="gramEnd"/>
      <w:r w:rsidRPr="002646AD">
        <w:rPr>
          <w:rFonts w:ascii="Verdana" w:hAnsi="Verdana"/>
          <w:sz w:val="20"/>
        </w:rPr>
        <w:t xml:space="preserve">,3% av pasientene, </w:t>
      </w:r>
      <w:proofErr w:type="spellStart"/>
      <w:r w:rsidRPr="002646AD">
        <w:rPr>
          <w:rFonts w:ascii="Verdana" w:hAnsi="Verdana"/>
          <w:sz w:val="20"/>
        </w:rPr>
        <w:t>neutropenia</w:t>
      </w:r>
      <w:proofErr w:type="spellEnd"/>
      <w:r w:rsidRPr="002646AD">
        <w:rPr>
          <w:rFonts w:ascii="Verdana" w:hAnsi="Verdana"/>
          <w:sz w:val="20"/>
        </w:rPr>
        <w:t xml:space="preserve"> (&lt; 1.000/mm</w:t>
      </w:r>
      <w:r w:rsidRPr="002646AD">
        <w:rPr>
          <w:rFonts w:ascii="Verdana" w:hAnsi="Verdana"/>
          <w:sz w:val="20"/>
          <w:vertAlign w:val="superscript"/>
        </w:rPr>
        <w:t>3</w:t>
      </w:r>
      <w:r w:rsidRPr="002646AD">
        <w:rPr>
          <w:rFonts w:ascii="Verdana" w:hAnsi="Verdana"/>
          <w:sz w:val="20"/>
        </w:rPr>
        <w:t xml:space="preserve">) inntraff i 1,9% og anemi (&lt; 8 g/dl) inntraff i 1,0%. Selv om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induserte B-celle-utarming i </w:t>
      </w:r>
      <w:proofErr w:type="gramStart"/>
      <w:r w:rsidRPr="002646AD">
        <w:rPr>
          <w:rFonts w:ascii="Verdana" w:hAnsi="Verdana"/>
          <w:sz w:val="20"/>
        </w:rPr>
        <w:t>70%</w:t>
      </w:r>
      <w:proofErr w:type="gramEnd"/>
      <w:r w:rsidRPr="002646AD">
        <w:rPr>
          <w:rFonts w:ascii="Verdana" w:hAnsi="Verdana"/>
          <w:sz w:val="20"/>
        </w:rPr>
        <w:t xml:space="preserve"> til 80% av pasientene, ble </w:t>
      </w:r>
      <w:proofErr w:type="spellStart"/>
      <w:r w:rsidRPr="002646AD">
        <w:rPr>
          <w:rFonts w:ascii="Verdana" w:hAnsi="Verdana"/>
          <w:sz w:val="20"/>
        </w:rPr>
        <w:t>abnormalt</w:t>
      </w:r>
      <w:proofErr w:type="spellEnd"/>
      <w:r w:rsidRPr="002646AD">
        <w:rPr>
          <w:rFonts w:ascii="Verdana" w:hAnsi="Verdana"/>
          <w:sz w:val="20"/>
        </w:rPr>
        <w:t xml:space="preserve"> minskede serum-</w:t>
      </w:r>
      <w:proofErr w:type="spellStart"/>
      <w:r w:rsidRPr="002646AD">
        <w:rPr>
          <w:rFonts w:ascii="Verdana" w:hAnsi="Verdana"/>
          <w:sz w:val="20"/>
        </w:rPr>
        <w:t>immunoglobuliner</w:t>
      </w:r>
      <w:proofErr w:type="spellEnd"/>
      <w:r w:rsidRPr="002646AD">
        <w:rPr>
          <w:rFonts w:ascii="Verdana" w:hAnsi="Verdana"/>
          <w:sz w:val="20"/>
        </w:rPr>
        <w:t xml:space="preserve"> observert i en minoritet av pasientene og infeksjonshyppigheten syntes ikke å være øket. 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t>Hypotensjon</w:t>
      </w:r>
      <w:proofErr w:type="spellEnd"/>
      <w:r w:rsidRPr="002646AD">
        <w:rPr>
          <w:rFonts w:ascii="Verdana" w:hAnsi="Verdana"/>
          <w:sz w:val="20"/>
        </w:rPr>
        <w:t xml:space="preserve"> som krever opphold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="00AF385E">
        <w:rPr>
          <w:rFonts w:ascii="Verdana" w:hAnsi="Verdana"/>
          <w:sz w:val="20"/>
        </w:rPr>
        <w:t>-</w:t>
      </w:r>
      <w:r w:rsidRPr="002646AD">
        <w:rPr>
          <w:rFonts w:ascii="Verdana" w:hAnsi="Verdana"/>
          <w:sz w:val="20"/>
        </w:rPr>
        <w:t xml:space="preserve">infusjonen opptrådde i </w:t>
      </w:r>
      <w:proofErr w:type="gramStart"/>
      <w:r w:rsidRPr="002646AD">
        <w:rPr>
          <w:rFonts w:ascii="Verdana" w:hAnsi="Verdana"/>
          <w:sz w:val="20"/>
        </w:rPr>
        <w:t>10%</w:t>
      </w:r>
      <w:proofErr w:type="gramEnd"/>
      <w:r w:rsidRPr="002646AD">
        <w:rPr>
          <w:rFonts w:ascii="Verdana" w:hAnsi="Verdana"/>
          <w:sz w:val="20"/>
        </w:rPr>
        <w:t xml:space="preserve"> av pasientene og var grad 3 eller 4 i 1%. </w:t>
      </w:r>
      <w:proofErr w:type="spellStart"/>
      <w:r w:rsidRPr="002646AD">
        <w:rPr>
          <w:rFonts w:ascii="Verdana" w:hAnsi="Verdana"/>
          <w:sz w:val="20"/>
        </w:rPr>
        <w:t>Angioødem</w:t>
      </w:r>
      <w:proofErr w:type="spellEnd"/>
      <w:r w:rsidRPr="002646AD">
        <w:rPr>
          <w:rFonts w:ascii="Verdana" w:hAnsi="Verdana"/>
          <w:sz w:val="20"/>
        </w:rPr>
        <w:t xml:space="preserve"> ble rapportert i </w:t>
      </w:r>
      <w:proofErr w:type="gramStart"/>
      <w:r w:rsidRPr="002646AD">
        <w:rPr>
          <w:rFonts w:ascii="Verdana" w:hAnsi="Verdana"/>
          <w:sz w:val="20"/>
        </w:rPr>
        <w:t>13%</w:t>
      </w:r>
      <w:proofErr w:type="gramEnd"/>
      <w:r w:rsidRPr="002646AD">
        <w:rPr>
          <w:rFonts w:ascii="Verdana" w:hAnsi="Verdana"/>
          <w:sz w:val="20"/>
        </w:rPr>
        <w:t xml:space="preserve"> av pasientene og ble betrak</w:t>
      </w:r>
      <w:r w:rsidRPr="002646AD">
        <w:rPr>
          <w:rFonts w:ascii="Verdana" w:hAnsi="Verdana"/>
          <w:sz w:val="20"/>
        </w:rPr>
        <w:softHyphen/>
        <w:t xml:space="preserve">tet som alvorlig i en pasient. </w:t>
      </w:r>
      <w:proofErr w:type="spellStart"/>
      <w:r w:rsidRPr="002646AD">
        <w:rPr>
          <w:rFonts w:ascii="Verdana" w:hAnsi="Verdana"/>
          <w:sz w:val="20"/>
        </w:rPr>
        <w:t>Bronkospasma</w:t>
      </w:r>
      <w:proofErr w:type="spellEnd"/>
      <w:r w:rsidRPr="002646AD">
        <w:rPr>
          <w:rFonts w:ascii="Verdana" w:hAnsi="Verdana"/>
          <w:sz w:val="20"/>
        </w:rPr>
        <w:t xml:space="preserve"> opptrådde i </w:t>
      </w:r>
      <w:proofErr w:type="gramStart"/>
      <w:r w:rsidRPr="002646AD">
        <w:rPr>
          <w:rFonts w:ascii="Verdana" w:hAnsi="Verdana"/>
          <w:sz w:val="20"/>
        </w:rPr>
        <w:t>8%</w:t>
      </w:r>
      <w:proofErr w:type="gramEnd"/>
      <w:r w:rsidRPr="002646AD">
        <w:rPr>
          <w:rFonts w:ascii="Verdana" w:hAnsi="Verdana"/>
          <w:sz w:val="20"/>
        </w:rPr>
        <w:t xml:space="preserve"> av pasientene; 2% ble behandlet med bronkodilatorer. En enkel rapport av </w:t>
      </w:r>
      <w:proofErr w:type="spellStart"/>
      <w:r w:rsidRPr="002646AD">
        <w:rPr>
          <w:rFonts w:ascii="Verdana" w:hAnsi="Verdana"/>
          <w:sz w:val="20"/>
        </w:rPr>
        <w:t>bronkiolitis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obliterans</w:t>
      </w:r>
      <w:proofErr w:type="spellEnd"/>
      <w:r w:rsidRPr="002646AD">
        <w:rPr>
          <w:rFonts w:ascii="Verdana" w:hAnsi="Verdana"/>
          <w:sz w:val="20"/>
        </w:rPr>
        <w:t xml:space="preserve"> ble nedtegnet. De fleste pasienter opplevd</w:t>
      </w:r>
      <w:r w:rsidR="00AF385E">
        <w:rPr>
          <w:rFonts w:ascii="Verdana" w:hAnsi="Verdana"/>
          <w:sz w:val="20"/>
        </w:rPr>
        <w:t>e</w:t>
      </w:r>
      <w:r w:rsidRPr="002646AD">
        <w:rPr>
          <w:rFonts w:ascii="Verdana" w:hAnsi="Verdana"/>
          <w:sz w:val="20"/>
        </w:rPr>
        <w:t xml:space="preserve"> ingen ytterligere infusjons-relaterte toksisiteter ved andre og etterfølgende infu</w:t>
      </w:r>
      <w:r w:rsidRPr="002646AD">
        <w:rPr>
          <w:rFonts w:ascii="Verdana" w:hAnsi="Verdana"/>
          <w:sz w:val="20"/>
        </w:rPr>
        <w:softHyphen/>
        <w:t>sjoner. Prosenten av pasienter som rapporterte dårlige hendelser ved behandling var likt den rapportert etter</w:t>
      </w:r>
      <w:r w:rsidRPr="002646AD">
        <w:rPr>
          <w:rFonts w:ascii="Verdana" w:hAnsi="Verdana"/>
          <w:sz w:val="20"/>
        </w:rPr>
        <w:softHyphen/>
        <w:t>følgende første forløp (14).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Fire pasienter utviklet </w:t>
      </w:r>
      <w:proofErr w:type="spellStart"/>
      <w:r w:rsidRPr="002646AD">
        <w:rPr>
          <w:rFonts w:ascii="Verdana" w:hAnsi="Verdana"/>
          <w:sz w:val="20"/>
        </w:rPr>
        <w:t>arrytmia</w:t>
      </w:r>
      <w:proofErr w:type="spellEnd"/>
      <w:r w:rsidRPr="002646AD">
        <w:rPr>
          <w:rFonts w:ascii="Verdana" w:hAnsi="Verdana"/>
          <w:sz w:val="20"/>
        </w:rPr>
        <w:t xml:space="preserve"> i løpet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-infusjon. En av de fire avsluttet behandling på grunn av ventrikulær </w:t>
      </w:r>
      <w:proofErr w:type="spellStart"/>
      <w:r w:rsidRPr="002646AD">
        <w:rPr>
          <w:rFonts w:ascii="Verdana" w:hAnsi="Verdana"/>
          <w:sz w:val="20"/>
        </w:rPr>
        <w:t>takykardia</w:t>
      </w:r>
      <w:proofErr w:type="spellEnd"/>
      <w:r w:rsidRPr="002646AD">
        <w:rPr>
          <w:rFonts w:ascii="Verdana" w:hAnsi="Verdana"/>
          <w:sz w:val="20"/>
        </w:rPr>
        <w:t xml:space="preserve"> og supraventrikulær </w:t>
      </w:r>
      <w:proofErr w:type="spellStart"/>
      <w:r w:rsidRPr="002646AD">
        <w:rPr>
          <w:rFonts w:ascii="Verdana" w:hAnsi="Verdana"/>
          <w:sz w:val="20"/>
        </w:rPr>
        <w:t>takykardia</w:t>
      </w:r>
      <w:proofErr w:type="spellEnd"/>
      <w:r w:rsidRPr="002646AD">
        <w:rPr>
          <w:rFonts w:ascii="Verdana" w:hAnsi="Verdana"/>
          <w:sz w:val="20"/>
        </w:rPr>
        <w:t xml:space="preserve">. De andre tre pasienter opplevde </w:t>
      </w:r>
      <w:proofErr w:type="spellStart"/>
      <w:r w:rsidRPr="002646AD">
        <w:rPr>
          <w:rFonts w:ascii="Verdana" w:hAnsi="Verdana"/>
          <w:sz w:val="20"/>
        </w:rPr>
        <w:t>trigemini</w:t>
      </w:r>
      <w:proofErr w:type="spellEnd"/>
      <w:r w:rsidRPr="002646AD">
        <w:rPr>
          <w:rFonts w:ascii="Verdana" w:hAnsi="Verdana"/>
          <w:sz w:val="20"/>
        </w:rPr>
        <w:t xml:space="preserve"> (N=1) og ujevn puls (N=2) og krevde ikke avslutning av behandlingen. Angina ble rapportert under infusjon av </w:t>
      </w:r>
      <w:proofErr w:type="spellStart"/>
      <w:r w:rsidRPr="002646AD">
        <w:rPr>
          <w:rFonts w:ascii="Verdana" w:hAnsi="Verdana"/>
          <w:sz w:val="20"/>
        </w:rPr>
        <w:lastRenderedPageBreak/>
        <w:t>myokardial</w:t>
      </w:r>
      <w:proofErr w:type="spellEnd"/>
      <w:r w:rsidRPr="002646AD">
        <w:rPr>
          <w:rFonts w:ascii="Verdana" w:hAnsi="Verdana"/>
          <w:sz w:val="20"/>
        </w:rPr>
        <w:t xml:space="preserve"> infarkt inntraff fire dager etter infusjon hos et individ med en tidligere historie angående </w:t>
      </w:r>
      <w:proofErr w:type="spellStart"/>
      <w:r w:rsidRPr="002646AD">
        <w:rPr>
          <w:rFonts w:ascii="Verdana" w:hAnsi="Verdana"/>
          <w:sz w:val="20"/>
        </w:rPr>
        <w:t>myokardialt</w:t>
      </w:r>
      <w:proofErr w:type="spellEnd"/>
      <w:r w:rsidRPr="002646AD">
        <w:rPr>
          <w:rFonts w:ascii="Verdana" w:hAnsi="Verdana"/>
          <w:sz w:val="20"/>
        </w:rPr>
        <w:t xml:space="preserve"> infarkt.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Den totale hyppighet på uønskede hendelser og grad 3 og 4 uønskede hendelser var høyere i pasienter med klumpsykdom enn i pasienter med ikke-klumpsykdom. Opptreden av svimmel</w:t>
      </w:r>
      <w:r w:rsidRPr="002646AD">
        <w:rPr>
          <w:rFonts w:ascii="Verdana" w:hAnsi="Verdana"/>
          <w:sz w:val="20"/>
        </w:rPr>
        <w:softHyphen/>
        <w:t xml:space="preserve">het, </w:t>
      </w:r>
      <w:proofErr w:type="spellStart"/>
      <w:r w:rsidRPr="002646AD">
        <w:rPr>
          <w:rFonts w:ascii="Verdana" w:hAnsi="Verdana"/>
          <w:sz w:val="20"/>
        </w:rPr>
        <w:t>neuropenia</w:t>
      </w:r>
      <w:proofErr w:type="spellEnd"/>
      <w:r w:rsidRPr="002646AD">
        <w:rPr>
          <w:rFonts w:ascii="Verdana" w:hAnsi="Verdana"/>
          <w:sz w:val="20"/>
        </w:rPr>
        <w:t xml:space="preserve">, </w:t>
      </w:r>
      <w:proofErr w:type="spellStart"/>
      <w:r w:rsidRPr="002646AD">
        <w:rPr>
          <w:rFonts w:ascii="Verdana" w:hAnsi="Verdana"/>
          <w:sz w:val="20"/>
        </w:rPr>
        <w:t>trombocytopenia</w:t>
      </w:r>
      <w:proofErr w:type="spellEnd"/>
      <w:r w:rsidRPr="002646AD">
        <w:rPr>
          <w:rFonts w:ascii="Verdana" w:hAnsi="Verdana"/>
          <w:sz w:val="20"/>
        </w:rPr>
        <w:t xml:space="preserve">, </w:t>
      </w:r>
      <w:proofErr w:type="spellStart"/>
      <w:r w:rsidRPr="002646AD">
        <w:rPr>
          <w:rFonts w:ascii="Verdana" w:hAnsi="Verdana"/>
          <w:sz w:val="20"/>
        </w:rPr>
        <w:t>myalgia</w:t>
      </w:r>
      <w:proofErr w:type="spellEnd"/>
      <w:r w:rsidRPr="002646AD">
        <w:rPr>
          <w:rFonts w:ascii="Verdana" w:hAnsi="Verdana"/>
          <w:sz w:val="20"/>
        </w:rPr>
        <w:t>, anemi, og bryst</w:t>
      </w:r>
      <w:r w:rsidRPr="002646AD">
        <w:rPr>
          <w:rFonts w:ascii="Verdana" w:hAnsi="Verdana"/>
          <w:sz w:val="20"/>
        </w:rPr>
        <w:softHyphen/>
        <w:t>smerte var høyere i pasienter med lesjoner &gt; 10 cm. Opp</w:t>
      </w:r>
      <w:r w:rsidRPr="002646AD">
        <w:rPr>
          <w:rFonts w:ascii="Verdana" w:hAnsi="Verdana"/>
          <w:sz w:val="20"/>
        </w:rPr>
        <w:softHyphen/>
        <w:t xml:space="preserve">treden av grad 3 eller 4 </w:t>
      </w:r>
      <w:proofErr w:type="spellStart"/>
      <w:r w:rsidRPr="002646AD">
        <w:rPr>
          <w:rFonts w:ascii="Verdana" w:hAnsi="Verdana"/>
          <w:sz w:val="20"/>
        </w:rPr>
        <w:t>neutropenia</w:t>
      </w:r>
      <w:proofErr w:type="spellEnd"/>
      <w:r w:rsidRPr="002646AD">
        <w:rPr>
          <w:rFonts w:ascii="Verdana" w:hAnsi="Verdana"/>
          <w:sz w:val="20"/>
        </w:rPr>
        <w:t xml:space="preserve">, anemi, </w:t>
      </w:r>
      <w:proofErr w:type="spellStart"/>
      <w:r w:rsidRPr="002646AD">
        <w:rPr>
          <w:rFonts w:ascii="Verdana" w:hAnsi="Verdana"/>
          <w:sz w:val="20"/>
        </w:rPr>
        <w:t>hypoten</w:t>
      </w:r>
      <w:r w:rsidRPr="002646AD">
        <w:rPr>
          <w:rFonts w:ascii="Verdana" w:hAnsi="Verdana"/>
          <w:sz w:val="20"/>
        </w:rPr>
        <w:softHyphen/>
        <w:t>sjon</w:t>
      </w:r>
      <w:proofErr w:type="spellEnd"/>
      <w:r w:rsidRPr="002646AD">
        <w:rPr>
          <w:rFonts w:ascii="Verdana" w:hAnsi="Verdana"/>
          <w:sz w:val="20"/>
        </w:rPr>
        <w:t xml:space="preserve">, og </w:t>
      </w:r>
      <w:proofErr w:type="spellStart"/>
      <w:r w:rsidRPr="002646AD">
        <w:rPr>
          <w:rFonts w:ascii="Verdana" w:hAnsi="Verdana"/>
          <w:sz w:val="20"/>
        </w:rPr>
        <w:t>dyspnea</w:t>
      </w:r>
      <w:proofErr w:type="spellEnd"/>
      <w:r w:rsidRPr="002646AD">
        <w:rPr>
          <w:rFonts w:ascii="Verdana" w:hAnsi="Verdana"/>
          <w:sz w:val="20"/>
        </w:rPr>
        <w:t xml:space="preserve"> var også høyere i pasienter med </w:t>
      </w:r>
      <w:proofErr w:type="spellStart"/>
      <w:r w:rsidRPr="002646AD">
        <w:rPr>
          <w:rFonts w:ascii="Verdana" w:hAnsi="Verdana"/>
          <w:sz w:val="20"/>
        </w:rPr>
        <w:t>klumpsyk</w:t>
      </w:r>
      <w:r w:rsidRPr="002646AD">
        <w:rPr>
          <w:rFonts w:ascii="Verdana" w:hAnsi="Verdana"/>
          <w:sz w:val="20"/>
        </w:rPr>
        <w:softHyphen/>
        <w:t>dom</w:t>
      </w:r>
      <w:proofErr w:type="spellEnd"/>
      <w:r w:rsidRPr="002646AD">
        <w:rPr>
          <w:rFonts w:ascii="Verdana" w:hAnsi="Verdana"/>
          <w:sz w:val="20"/>
        </w:rPr>
        <w:t xml:space="preserve"> sammenlignet med pasienter med lesjoner &lt; 10 cm (19).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Siden FNA-godkjennelse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for behandling av tilbakefall eller </w:t>
      </w:r>
      <w:proofErr w:type="spellStart"/>
      <w:r w:rsidRPr="002646AD">
        <w:rPr>
          <w:rFonts w:ascii="Verdana" w:hAnsi="Verdana"/>
          <w:sz w:val="20"/>
        </w:rPr>
        <w:t>refraktorisk</w:t>
      </w:r>
      <w:proofErr w:type="spellEnd"/>
      <w:r w:rsidRPr="002646AD">
        <w:rPr>
          <w:rFonts w:ascii="Verdana" w:hAnsi="Verdana"/>
          <w:sz w:val="20"/>
        </w:rPr>
        <w:t xml:space="preserve"> lavgrads eller follikulær NHL i 1997, har beregnet 17.000 pasienter blitt behandlet. I mai 1998 ble beskrivelser av åtte post-markedsførende rapporter av alvorlige infusjons</w:t>
      </w:r>
      <w:r w:rsidR="00AF385E">
        <w:rPr>
          <w:rFonts w:ascii="Verdana" w:hAnsi="Verdana"/>
          <w:sz w:val="20"/>
        </w:rPr>
        <w:t>-</w:t>
      </w:r>
      <w:r w:rsidRPr="002646AD">
        <w:rPr>
          <w:rFonts w:ascii="Verdana" w:hAnsi="Verdana"/>
          <w:sz w:val="20"/>
        </w:rPr>
        <w:t>relaterte uønskede hen</w:t>
      </w:r>
      <w:r w:rsidRPr="002646AD">
        <w:rPr>
          <w:rFonts w:ascii="Verdana" w:hAnsi="Verdana"/>
          <w:sz w:val="20"/>
        </w:rPr>
        <w:softHyphen/>
        <w:t xml:space="preserve">delser assosiert med bruken av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som resulterte i dødelig utfall oppsummert. I syv av åtte dødsfall opptrådde alvorlige symptomer i løpet av den første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>-infu</w:t>
      </w:r>
      <w:r w:rsidRPr="002646AD">
        <w:rPr>
          <w:rFonts w:ascii="Verdana" w:hAnsi="Verdana"/>
          <w:sz w:val="20"/>
        </w:rPr>
        <w:softHyphen/>
        <w:t>sjon. Årsaken for død ble ikke rapportert og forblir ukjent for to av de åtte tilfeller. Alvorlige respirato</w:t>
      </w:r>
      <w:r w:rsidRPr="002646AD">
        <w:rPr>
          <w:rFonts w:ascii="Verdana" w:hAnsi="Verdana"/>
          <w:sz w:val="20"/>
        </w:rPr>
        <w:softHyphen/>
        <w:t xml:space="preserve">riske tilfeller, innbefattende </w:t>
      </w:r>
      <w:proofErr w:type="spellStart"/>
      <w:r w:rsidRPr="002646AD">
        <w:rPr>
          <w:rFonts w:ascii="Verdana" w:hAnsi="Verdana"/>
          <w:sz w:val="20"/>
        </w:rPr>
        <w:t>hypoxia</w:t>
      </w:r>
      <w:proofErr w:type="spellEnd"/>
      <w:r w:rsidRPr="002646AD">
        <w:rPr>
          <w:rFonts w:ascii="Verdana" w:hAnsi="Verdana"/>
          <w:sz w:val="20"/>
        </w:rPr>
        <w:t xml:space="preserve">, </w:t>
      </w:r>
      <w:proofErr w:type="spellStart"/>
      <w:r w:rsidRPr="002646AD">
        <w:rPr>
          <w:rFonts w:ascii="Verdana" w:hAnsi="Verdana"/>
          <w:sz w:val="20"/>
        </w:rPr>
        <w:t>pulmonære</w:t>
      </w:r>
      <w:proofErr w:type="spellEnd"/>
      <w:r w:rsidRPr="002646AD">
        <w:rPr>
          <w:rFonts w:ascii="Verdana" w:hAnsi="Verdana"/>
          <w:sz w:val="20"/>
        </w:rPr>
        <w:t xml:space="preserve"> infil</w:t>
      </w:r>
      <w:r w:rsidRPr="002646AD">
        <w:rPr>
          <w:rFonts w:ascii="Verdana" w:hAnsi="Verdana"/>
          <w:sz w:val="20"/>
        </w:rPr>
        <w:softHyphen/>
        <w:t xml:space="preserve">trater, eller voksent respiratorisk </w:t>
      </w:r>
      <w:proofErr w:type="spellStart"/>
      <w:r w:rsidRPr="002646AD">
        <w:rPr>
          <w:rFonts w:ascii="Verdana" w:hAnsi="Verdana"/>
          <w:sz w:val="20"/>
        </w:rPr>
        <w:t>nødssyndrom</w:t>
      </w:r>
      <w:proofErr w:type="spellEnd"/>
      <w:r w:rsidRPr="002646AD">
        <w:rPr>
          <w:rFonts w:ascii="Verdana" w:hAnsi="Verdana"/>
          <w:sz w:val="20"/>
        </w:rPr>
        <w:t xml:space="preserve"> utgjorde seks av de åtte rapportert dødsfall. En pasient hadde et forbehandlet lymfocytt-tall på 600.000/mm</w:t>
      </w:r>
      <w:r w:rsidRPr="002646AD">
        <w:rPr>
          <w:rFonts w:ascii="Verdana" w:hAnsi="Verdana"/>
          <w:sz w:val="20"/>
          <w:vertAlign w:val="superscript"/>
        </w:rPr>
        <w:t>3</w:t>
      </w:r>
      <w:r w:rsidRPr="002646AD">
        <w:rPr>
          <w:rFonts w:ascii="Verdana" w:hAnsi="Verdana"/>
          <w:sz w:val="20"/>
        </w:rPr>
        <w:t xml:space="preserve">; en annen en </w:t>
      </w:r>
      <w:proofErr w:type="spellStart"/>
      <w:r w:rsidRPr="002646AD">
        <w:rPr>
          <w:rFonts w:ascii="Verdana" w:hAnsi="Verdana"/>
          <w:sz w:val="20"/>
        </w:rPr>
        <w:t>kreatinin</w:t>
      </w:r>
      <w:proofErr w:type="spellEnd"/>
      <w:r w:rsidRPr="002646AD">
        <w:rPr>
          <w:rFonts w:ascii="Verdana" w:hAnsi="Verdana"/>
          <w:sz w:val="20"/>
        </w:rPr>
        <w:t xml:space="preserve"> på 8; en tredje, en respiratorisk grad på 40; og den fjerde, </w:t>
      </w:r>
      <w:proofErr w:type="spellStart"/>
      <w:r w:rsidRPr="002646AD">
        <w:rPr>
          <w:rFonts w:ascii="Verdana" w:hAnsi="Verdana"/>
          <w:sz w:val="20"/>
        </w:rPr>
        <w:t>pancytopenia</w:t>
      </w:r>
      <w:proofErr w:type="spellEnd"/>
      <w:r w:rsidRPr="002646AD">
        <w:rPr>
          <w:rFonts w:ascii="Verdana" w:hAnsi="Verdana"/>
          <w:sz w:val="20"/>
        </w:rPr>
        <w:t xml:space="preserve">. Pasienter med en høy </w:t>
      </w:r>
      <w:proofErr w:type="spellStart"/>
      <w:r w:rsidRPr="002646AD">
        <w:rPr>
          <w:rFonts w:ascii="Verdana" w:hAnsi="Verdana"/>
          <w:sz w:val="20"/>
        </w:rPr>
        <w:t>svulstbe</w:t>
      </w:r>
      <w:r w:rsidRPr="002646AD">
        <w:rPr>
          <w:rFonts w:ascii="Verdana" w:hAnsi="Verdana"/>
          <w:sz w:val="20"/>
        </w:rPr>
        <w:softHyphen/>
        <w:t>lastning</w:t>
      </w:r>
      <w:proofErr w:type="spellEnd"/>
      <w:r w:rsidRPr="002646AD">
        <w:rPr>
          <w:rFonts w:ascii="Verdana" w:hAnsi="Verdana"/>
          <w:sz w:val="20"/>
        </w:rPr>
        <w:t xml:space="preserve"> eller med et høyt antall sirkulerende ondartede celler kan ha en høyere risiko og disse pasienter bør bli nøye overvåket gjennom hver infusjon.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De fleste av de ønskede hendelser nylig beskrevet ble tidlig observert i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kliniske studier. Et viktig unntak er et infusjonsrelatert syndrom assosiert med rask </w:t>
      </w:r>
      <w:proofErr w:type="spellStart"/>
      <w:r w:rsidRPr="002646AD">
        <w:rPr>
          <w:rFonts w:ascii="Verdana" w:hAnsi="Verdana"/>
          <w:sz w:val="20"/>
        </w:rPr>
        <w:t>tumorlysis</w:t>
      </w:r>
      <w:proofErr w:type="spellEnd"/>
      <w:r w:rsidRPr="002646AD">
        <w:rPr>
          <w:rFonts w:ascii="Verdana" w:hAnsi="Verdana"/>
          <w:sz w:val="20"/>
        </w:rPr>
        <w:t xml:space="preserve">, som ble rapportert i seks pasienter med høyt antall av sirkulerende tumorceller (37,38). Dette syndrom var karakterisert av feber, kramper, </w:t>
      </w:r>
      <w:proofErr w:type="spellStart"/>
      <w:r w:rsidRPr="002646AD">
        <w:rPr>
          <w:rFonts w:ascii="Verdana" w:hAnsi="Verdana"/>
          <w:sz w:val="20"/>
        </w:rPr>
        <w:t>bronkospasma</w:t>
      </w:r>
      <w:proofErr w:type="spellEnd"/>
      <w:r w:rsidRPr="002646AD">
        <w:rPr>
          <w:rFonts w:ascii="Verdana" w:hAnsi="Verdana"/>
          <w:sz w:val="20"/>
        </w:rPr>
        <w:t xml:space="preserve"> og assosiert </w:t>
      </w:r>
      <w:proofErr w:type="spellStart"/>
      <w:r w:rsidRPr="002646AD">
        <w:rPr>
          <w:rFonts w:ascii="Verdana" w:hAnsi="Verdana"/>
          <w:sz w:val="20"/>
        </w:rPr>
        <w:t>hypoxemia</w:t>
      </w:r>
      <w:proofErr w:type="spellEnd"/>
      <w:r w:rsidRPr="002646AD">
        <w:rPr>
          <w:rFonts w:ascii="Verdana" w:hAnsi="Verdana"/>
          <w:sz w:val="20"/>
        </w:rPr>
        <w:t xml:space="preserve">, en rask senkning i </w:t>
      </w:r>
      <w:proofErr w:type="spellStart"/>
      <w:r w:rsidRPr="002646AD">
        <w:rPr>
          <w:rFonts w:ascii="Verdana" w:hAnsi="Verdana"/>
          <w:sz w:val="20"/>
        </w:rPr>
        <w:t>periferal</w:t>
      </w:r>
      <w:r w:rsidR="002F1C3D">
        <w:rPr>
          <w:rFonts w:ascii="Verdana" w:hAnsi="Verdana"/>
          <w:sz w:val="20"/>
        </w:rPr>
        <w:t>e</w:t>
      </w:r>
      <w:proofErr w:type="spellEnd"/>
      <w:r w:rsidRPr="002646AD">
        <w:rPr>
          <w:rFonts w:ascii="Verdana" w:hAnsi="Verdana"/>
          <w:sz w:val="20"/>
        </w:rPr>
        <w:t xml:space="preserve"> lymfocyt</w:t>
      </w:r>
      <w:r w:rsidRPr="002646AD">
        <w:rPr>
          <w:rFonts w:ascii="Verdana" w:hAnsi="Verdana"/>
          <w:sz w:val="20"/>
        </w:rPr>
        <w:softHyphen/>
        <w:t>ter, laboratorie</w:t>
      </w:r>
      <w:r w:rsidR="002F1C3D">
        <w:rPr>
          <w:rFonts w:ascii="Verdana" w:hAnsi="Verdana"/>
          <w:sz w:val="20"/>
        </w:rPr>
        <w:t>-</w:t>
      </w:r>
      <w:r w:rsidRPr="002646AD">
        <w:rPr>
          <w:rFonts w:ascii="Verdana" w:hAnsi="Verdana"/>
          <w:sz w:val="20"/>
        </w:rPr>
        <w:t xml:space="preserve">tegn på tumordestruksjon, samt </w:t>
      </w:r>
      <w:proofErr w:type="spellStart"/>
      <w:r w:rsidRPr="002646AD">
        <w:rPr>
          <w:rFonts w:ascii="Verdana" w:hAnsi="Verdana"/>
          <w:sz w:val="20"/>
        </w:rPr>
        <w:t>transient</w:t>
      </w:r>
      <w:proofErr w:type="spellEnd"/>
      <w:r w:rsidRPr="002646AD">
        <w:rPr>
          <w:rFonts w:ascii="Verdana" w:hAnsi="Verdana"/>
          <w:sz w:val="20"/>
        </w:rPr>
        <w:t xml:space="preserve">, alvorlig </w:t>
      </w:r>
      <w:proofErr w:type="spellStart"/>
      <w:r w:rsidRPr="002646AD">
        <w:rPr>
          <w:rFonts w:ascii="Verdana" w:hAnsi="Verdana"/>
          <w:sz w:val="20"/>
        </w:rPr>
        <w:t>trombocytopenia</w:t>
      </w:r>
      <w:proofErr w:type="spellEnd"/>
      <w:r w:rsidRPr="002646AD">
        <w:rPr>
          <w:rFonts w:ascii="Verdana" w:hAnsi="Verdana"/>
          <w:sz w:val="20"/>
        </w:rPr>
        <w:t>. Disse pasienter hadde diagnoser av B-</w:t>
      </w:r>
      <w:proofErr w:type="spellStart"/>
      <w:r w:rsidRPr="002646AD">
        <w:rPr>
          <w:rFonts w:ascii="Verdana" w:hAnsi="Verdana"/>
          <w:sz w:val="20"/>
        </w:rPr>
        <w:t>prolymfocytisk</w:t>
      </w:r>
      <w:proofErr w:type="spellEnd"/>
      <w:r w:rsidRPr="002646AD">
        <w:rPr>
          <w:rFonts w:ascii="Verdana" w:hAnsi="Verdana"/>
          <w:sz w:val="20"/>
        </w:rPr>
        <w:t xml:space="preserve"> leukemi (N=2), kronisk </w:t>
      </w:r>
      <w:proofErr w:type="spellStart"/>
      <w:r w:rsidRPr="002646AD">
        <w:rPr>
          <w:rFonts w:ascii="Verdana" w:hAnsi="Verdana"/>
          <w:sz w:val="20"/>
        </w:rPr>
        <w:t>lymfocytisk</w:t>
      </w:r>
      <w:proofErr w:type="spellEnd"/>
      <w:r w:rsidRPr="002646AD">
        <w:rPr>
          <w:rFonts w:ascii="Verdana" w:hAnsi="Verdana"/>
          <w:sz w:val="20"/>
        </w:rPr>
        <w:t xml:space="preserve"> leu</w:t>
      </w:r>
      <w:r w:rsidRPr="002646AD">
        <w:rPr>
          <w:rFonts w:ascii="Verdana" w:hAnsi="Verdana"/>
          <w:sz w:val="20"/>
        </w:rPr>
        <w:softHyphen/>
        <w:t>kemi (N=2), mantel-</w:t>
      </w:r>
      <w:proofErr w:type="spellStart"/>
      <w:r w:rsidRPr="002646AD">
        <w:rPr>
          <w:rFonts w:ascii="Verdana" w:hAnsi="Verdana"/>
          <w:sz w:val="20"/>
        </w:rPr>
        <w:t>cellelymfom</w:t>
      </w:r>
      <w:proofErr w:type="spellEnd"/>
      <w:r w:rsidRPr="002646AD">
        <w:rPr>
          <w:rFonts w:ascii="Verdana" w:hAnsi="Verdana"/>
          <w:sz w:val="20"/>
        </w:rPr>
        <w:t xml:space="preserve"> (N=1), eller transformert NHL (N=1); hvor alle hadde økede sirkulerende lymfocytter, masse</w:t>
      </w:r>
      <w:r w:rsidR="002F1C3D">
        <w:rPr>
          <w:rFonts w:ascii="Verdana" w:hAnsi="Verdana"/>
          <w:sz w:val="20"/>
        </w:rPr>
        <w:t>-</w:t>
      </w:r>
      <w:proofErr w:type="spellStart"/>
      <w:r w:rsidRPr="002646AD">
        <w:rPr>
          <w:rFonts w:ascii="Verdana" w:hAnsi="Verdana"/>
          <w:sz w:val="20"/>
        </w:rPr>
        <w:t>adenopati</w:t>
      </w:r>
      <w:proofErr w:type="spellEnd"/>
      <w:r w:rsidRPr="002646AD">
        <w:rPr>
          <w:rFonts w:ascii="Verdana" w:hAnsi="Verdana"/>
          <w:sz w:val="20"/>
        </w:rPr>
        <w:t xml:space="preserve">, og </w:t>
      </w:r>
      <w:proofErr w:type="spellStart"/>
      <w:r w:rsidRPr="002646AD">
        <w:rPr>
          <w:rFonts w:ascii="Verdana" w:hAnsi="Verdana"/>
          <w:sz w:val="20"/>
        </w:rPr>
        <w:t>organomegali</w:t>
      </w:r>
      <w:proofErr w:type="spellEnd"/>
      <w:r w:rsidRPr="002646AD">
        <w:rPr>
          <w:rFonts w:ascii="Verdana" w:hAnsi="Verdana"/>
          <w:sz w:val="20"/>
        </w:rPr>
        <w:t xml:space="preserve">. Selv om fem av disse seks pasienter krevet sykehusinnleggelse, forsvant symptomer og etterfølgende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>-behandlinger ble godt tolerert; hvor siste pasient nektet videre behandling og døde av pro</w:t>
      </w:r>
      <w:r w:rsidRPr="002646AD">
        <w:rPr>
          <w:rFonts w:ascii="Verdana" w:hAnsi="Verdana"/>
          <w:sz w:val="20"/>
        </w:rPr>
        <w:softHyphen/>
        <w:t>gressiv sykdom to uker senere.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lastRenderedPageBreak/>
        <w:t>I en separat rapport angående syv pasienter med CLL og en pasient med mantel-</w:t>
      </w:r>
      <w:proofErr w:type="spellStart"/>
      <w:r w:rsidRPr="002646AD">
        <w:rPr>
          <w:rFonts w:ascii="Verdana" w:hAnsi="Verdana"/>
          <w:sz w:val="20"/>
        </w:rPr>
        <w:t>cellelymfom</w:t>
      </w:r>
      <w:proofErr w:type="spellEnd"/>
      <w:r w:rsidRPr="002646AD">
        <w:rPr>
          <w:rFonts w:ascii="Verdana" w:hAnsi="Verdana"/>
          <w:sz w:val="20"/>
        </w:rPr>
        <w:t xml:space="preserve">, ble </w:t>
      </w:r>
      <w:proofErr w:type="spellStart"/>
      <w:r w:rsidRPr="002646AD">
        <w:rPr>
          <w:rFonts w:ascii="Verdana" w:hAnsi="Verdana"/>
          <w:sz w:val="20"/>
        </w:rPr>
        <w:t>tumorlysis</w:t>
      </w:r>
      <w:proofErr w:type="spellEnd"/>
      <w:r w:rsidR="002F1C3D">
        <w:rPr>
          <w:rFonts w:ascii="Verdana" w:hAnsi="Verdana"/>
          <w:sz w:val="20"/>
        </w:rPr>
        <w:t>-</w:t>
      </w:r>
      <w:r w:rsidRPr="002646AD">
        <w:rPr>
          <w:rFonts w:ascii="Verdana" w:hAnsi="Verdana"/>
          <w:sz w:val="20"/>
        </w:rPr>
        <w:t xml:space="preserve">syndrom observert etter første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>-infusjon i pasienter med lymfocytt-tall &gt;10 x 10</w:t>
      </w:r>
      <w:r w:rsidRPr="002646AD">
        <w:rPr>
          <w:rFonts w:ascii="Verdana" w:hAnsi="Verdana"/>
          <w:sz w:val="20"/>
          <w:vertAlign w:val="superscript"/>
        </w:rPr>
        <w:t>9</w:t>
      </w:r>
      <w:r w:rsidRPr="002646AD">
        <w:rPr>
          <w:rFonts w:ascii="Verdana" w:hAnsi="Verdana"/>
          <w:sz w:val="20"/>
        </w:rPr>
        <w:t>L (39).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RADIOIMMUNOTERAPI MED </w:t>
      </w:r>
      <w:r w:rsidRPr="002646AD">
        <w:rPr>
          <w:rFonts w:ascii="Verdana" w:hAnsi="Verdana"/>
          <w:sz w:val="20"/>
          <w:vertAlign w:val="superscript"/>
        </w:rPr>
        <w:t>90</w:t>
      </w:r>
      <w:r w:rsidRPr="002646AD">
        <w:rPr>
          <w:rFonts w:ascii="Verdana" w:hAnsi="Verdana"/>
          <w:sz w:val="20"/>
        </w:rPr>
        <w:t>YTTRI</w:t>
      </w:r>
      <w:r w:rsidR="002F1C3D">
        <w:rPr>
          <w:rFonts w:ascii="Verdana" w:hAnsi="Verdana"/>
          <w:sz w:val="20"/>
        </w:rPr>
        <w:t>U</w:t>
      </w:r>
      <w:r w:rsidRPr="002646AD">
        <w:rPr>
          <w:rFonts w:ascii="Verdana" w:hAnsi="Verdana"/>
          <w:sz w:val="20"/>
        </w:rPr>
        <w:t>M-MERKET ANTI-CD20-ANTISTOFF I KOMBINASJON MED RITUXIMAB</w:t>
      </w:r>
      <w:r w:rsidRPr="002646AD">
        <w:rPr>
          <w:rFonts w:ascii="Verdana" w:hAnsi="Verdana"/>
          <w:sz w:val="20"/>
        </w:rPr>
        <w:sym w:font="Symbol" w:char="F0E2"/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En annen terapeutisk metode til NHL som er under vurdering er et </w:t>
      </w:r>
      <w:proofErr w:type="gramStart"/>
      <w:r w:rsidRPr="002646AD">
        <w:rPr>
          <w:rFonts w:ascii="Verdana" w:hAnsi="Verdana"/>
          <w:sz w:val="20"/>
        </w:rPr>
        <w:t>radiomerket</w:t>
      </w:r>
      <w:proofErr w:type="gramEnd"/>
      <w:r w:rsidRPr="002646AD">
        <w:rPr>
          <w:rFonts w:ascii="Verdana" w:hAnsi="Verdana"/>
          <w:sz w:val="20"/>
        </w:rPr>
        <w:t xml:space="preserve"> anti-CD20-antistoff (IDEC-Y2B8) i kom</w:t>
      </w:r>
      <w:r w:rsidRPr="002646AD">
        <w:rPr>
          <w:rFonts w:ascii="Verdana" w:hAnsi="Verdana"/>
          <w:sz w:val="20"/>
        </w:rPr>
        <w:softHyphen/>
        <w:t xml:space="preserve">binasjon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>. IDEC-Y2B8 (</w:t>
      </w:r>
      <w:r w:rsidRPr="002646AD">
        <w:rPr>
          <w:rFonts w:ascii="Verdana" w:hAnsi="Verdana"/>
          <w:sz w:val="20"/>
          <w:vertAlign w:val="superscript"/>
        </w:rPr>
        <w:t>90</w:t>
      </w:r>
      <w:r w:rsidRPr="002646AD">
        <w:rPr>
          <w:rFonts w:ascii="Verdana" w:hAnsi="Verdana"/>
          <w:sz w:val="20"/>
        </w:rPr>
        <w:t xml:space="preserve">Y-ibritumormab </w:t>
      </w:r>
      <w:proofErr w:type="spellStart"/>
      <w:r w:rsidRPr="002646AD">
        <w:rPr>
          <w:rFonts w:ascii="Verdana" w:hAnsi="Verdana"/>
          <w:sz w:val="20"/>
        </w:rPr>
        <w:t>tiuxetan</w:t>
      </w:r>
      <w:proofErr w:type="spellEnd"/>
      <w:r w:rsidRPr="002646AD">
        <w:rPr>
          <w:rFonts w:ascii="Verdana" w:hAnsi="Verdana"/>
          <w:sz w:val="20"/>
        </w:rPr>
        <w:t xml:space="preserve">) er et </w:t>
      </w:r>
      <w:proofErr w:type="spellStart"/>
      <w:r w:rsidRPr="002646AD">
        <w:rPr>
          <w:rFonts w:ascii="Verdana" w:hAnsi="Verdana"/>
          <w:sz w:val="20"/>
        </w:rPr>
        <w:t>murint</w:t>
      </w:r>
      <w:proofErr w:type="spellEnd"/>
      <w:r w:rsidRPr="002646AD">
        <w:rPr>
          <w:rFonts w:ascii="Verdana" w:hAnsi="Verdana"/>
          <w:sz w:val="20"/>
        </w:rPr>
        <w:t xml:space="preserve"> IgG</w:t>
      </w:r>
      <w:r w:rsidRPr="002646AD">
        <w:rPr>
          <w:rFonts w:ascii="Verdana" w:hAnsi="Verdana"/>
          <w:sz w:val="20"/>
          <w:vertAlign w:val="subscript"/>
        </w:rPr>
        <w:t>1</w:t>
      </w:r>
      <w:r w:rsidRPr="002646AD">
        <w:rPr>
          <w:rFonts w:ascii="Verdana" w:hAnsi="Verdana"/>
          <w:sz w:val="20"/>
        </w:rPr>
        <w:t xml:space="preserve"> kappa anti-CD20-antistoff konjugert til </w:t>
      </w:r>
      <w:r w:rsidRPr="002646AD">
        <w:rPr>
          <w:rFonts w:ascii="Verdana" w:hAnsi="Verdana"/>
          <w:sz w:val="20"/>
          <w:vertAlign w:val="superscript"/>
        </w:rPr>
        <w:t>90</w:t>
      </w:r>
      <w:r w:rsidRPr="002646AD">
        <w:rPr>
          <w:rFonts w:ascii="Verdana" w:hAnsi="Verdana"/>
          <w:sz w:val="20"/>
        </w:rPr>
        <w:t xml:space="preserve">Y via en </w:t>
      </w:r>
      <w:proofErr w:type="spellStart"/>
      <w:r w:rsidRPr="002646AD">
        <w:rPr>
          <w:rFonts w:ascii="Verdana" w:hAnsi="Verdana"/>
          <w:sz w:val="20"/>
        </w:rPr>
        <w:t>chelator</w:t>
      </w:r>
      <w:proofErr w:type="spellEnd"/>
      <w:r w:rsidRPr="002646AD">
        <w:rPr>
          <w:rFonts w:ascii="Verdana" w:hAnsi="Verdana"/>
          <w:sz w:val="20"/>
        </w:rPr>
        <w:t xml:space="preserve">, MX-DTPA, som er kovalent bundet il antistoffet.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(250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>) administreres før IDEC-Y2B8 for å utarme perifer</w:t>
      </w:r>
      <w:r w:rsidR="002F1C3D">
        <w:rPr>
          <w:rFonts w:ascii="Verdana" w:hAnsi="Verdana"/>
          <w:sz w:val="20"/>
        </w:rPr>
        <w:t>e</w:t>
      </w:r>
      <w:r w:rsidRPr="002646AD">
        <w:rPr>
          <w:rFonts w:ascii="Verdana" w:hAnsi="Verdana"/>
          <w:sz w:val="20"/>
        </w:rPr>
        <w:t xml:space="preserve"> B-lymfocytter og for</w:t>
      </w:r>
      <w:r w:rsidRPr="002646AD">
        <w:rPr>
          <w:rFonts w:ascii="Verdana" w:hAnsi="Verdana"/>
          <w:sz w:val="20"/>
        </w:rPr>
        <w:softHyphen/>
        <w:t xml:space="preserve">bedre </w:t>
      </w:r>
      <w:proofErr w:type="spellStart"/>
      <w:r w:rsidRPr="002646AD">
        <w:rPr>
          <w:rFonts w:ascii="Verdana" w:hAnsi="Verdana"/>
          <w:sz w:val="20"/>
        </w:rPr>
        <w:t>biofordeling</w:t>
      </w:r>
      <w:proofErr w:type="spellEnd"/>
      <w:r w:rsidRPr="002646AD">
        <w:rPr>
          <w:rFonts w:ascii="Verdana" w:hAnsi="Verdana"/>
          <w:sz w:val="20"/>
        </w:rPr>
        <w:t xml:space="preserve"> av det radiomerkede antistoff.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 xml:space="preserve">I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nylig rapportert fase I/II-studium (40-42), ble pasienter med lavgrads NHL (N=34), mellomliggende grads NHL (N=14), eller mantel-</w:t>
      </w:r>
      <w:proofErr w:type="spellStart"/>
      <w:r w:rsidRPr="002646AD">
        <w:rPr>
          <w:rFonts w:ascii="Verdana" w:hAnsi="Verdana"/>
          <w:sz w:val="20"/>
        </w:rPr>
        <w:t>cellelymfom</w:t>
      </w:r>
      <w:proofErr w:type="spellEnd"/>
      <w:r w:rsidRPr="002646AD">
        <w:rPr>
          <w:rFonts w:ascii="Verdana" w:hAnsi="Verdana"/>
          <w:sz w:val="20"/>
        </w:rPr>
        <w:t xml:space="preserve"> (N=3) behandlet med IDEC-Y2B8. Den midlere alder var 60, </w:t>
      </w:r>
      <w:proofErr w:type="gramStart"/>
      <w:r w:rsidRPr="002646AD">
        <w:rPr>
          <w:rFonts w:ascii="Verdana" w:hAnsi="Verdana"/>
          <w:sz w:val="20"/>
        </w:rPr>
        <w:t>71%</w:t>
      </w:r>
      <w:proofErr w:type="gramEnd"/>
      <w:r w:rsidRPr="002646AD">
        <w:rPr>
          <w:rFonts w:ascii="Verdana" w:hAnsi="Verdana"/>
          <w:sz w:val="20"/>
        </w:rPr>
        <w:t xml:space="preserve"> var menn og 96% var hvite. Av 51 pasienter med tilbakefall eller </w:t>
      </w:r>
      <w:proofErr w:type="spellStart"/>
      <w:r w:rsidRPr="002646AD">
        <w:rPr>
          <w:rFonts w:ascii="Verdana" w:hAnsi="Verdana"/>
          <w:sz w:val="20"/>
        </w:rPr>
        <w:t>refraktorisk</w:t>
      </w:r>
      <w:proofErr w:type="spellEnd"/>
      <w:r w:rsidRPr="002646AD">
        <w:rPr>
          <w:rFonts w:ascii="Verdana" w:hAnsi="Verdana"/>
          <w:sz w:val="20"/>
        </w:rPr>
        <w:t xml:space="preserve"> NHL, reagerte 34 (</w:t>
      </w:r>
      <w:proofErr w:type="gramStart"/>
      <w:r w:rsidRPr="002646AD">
        <w:rPr>
          <w:rFonts w:ascii="Verdana" w:hAnsi="Verdana"/>
          <w:sz w:val="20"/>
        </w:rPr>
        <w:t>67%</w:t>
      </w:r>
      <w:proofErr w:type="gramEnd"/>
      <w:r w:rsidRPr="002646AD">
        <w:rPr>
          <w:rFonts w:ascii="Verdana" w:hAnsi="Verdana"/>
          <w:sz w:val="20"/>
        </w:rPr>
        <w:t xml:space="preserve">) for enkle doser av 0,2, 0,3, eller 0,4 </w:t>
      </w:r>
      <w:proofErr w:type="spellStart"/>
      <w:r w:rsidRPr="002646AD">
        <w:rPr>
          <w:rFonts w:ascii="Verdana" w:hAnsi="Verdana"/>
          <w:sz w:val="20"/>
        </w:rPr>
        <w:t>mCi</w:t>
      </w:r>
      <w:proofErr w:type="spellEnd"/>
      <w:r w:rsidRPr="002646AD">
        <w:rPr>
          <w:rFonts w:ascii="Verdana" w:hAnsi="Verdana"/>
          <w:sz w:val="20"/>
        </w:rPr>
        <w:t xml:space="preserve">/kg av IDEC-Y2B8. ORR var </w:t>
      </w:r>
      <w:proofErr w:type="gramStart"/>
      <w:r w:rsidRPr="002646AD">
        <w:rPr>
          <w:rFonts w:ascii="Verdana" w:hAnsi="Verdana"/>
          <w:sz w:val="20"/>
        </w:rPr>
        <w:t>82%</w:t>
      </w:r>
      <w:proofErr w:type="gramEnd"/>
      <w:r w:rsidRPr="002646AD">
        <w:rPr>
          <w:rFonts w:ascii="Verdana" w:hAnsi="Verdana"/>
          <w:sz w:val="20"/>
        </w:rPr>
        <w:t xml:space="preserve"> (28/34) for pasienter med </w:t>
      </w:r>
      <w:proofErr w:type="spellStart"/>
      <w:r w:rsidRPr="002646AD">
        <w:rPr>
          <w:rFonts w:ascii="Verdana" w:hAnsi="Verdana"/>
          <w:sz w:val="20"/>
        </w:rPr>
        <w:t>lavgrad</w:t>
      </w:r>
      <w:proofErr w:type="spellEnd"/>
      <w:r w:rsidRPr="002646AD">
        <w:rPr>
          <w:rFonts w:ascii="Verdana" w:hAnsi="Verdana"/>
          <w:sz w:val="20"/>
        </w:rPr>
        <w:t xml:space="preserve"> eller follikulær NHL og var 43% (6/14) for pasienter med mellomliggende </w:t>
      </w:r>
      <w:proofErr w:type="spellStart"/>
      <w:r w:rsidRPr="002646AD">
        <w:rPr>
          <w:rFonts w:ascii="Verdana" w:hAnsi="Verdana"/>
          <w:sz w:val="20"/>
        </w:rPr>
        <w:t>gradslymfom</w:t>
      </w:r>
      <w:proofErr w:type="spellEnd"/>
      <w:r w:rsidRPr="002646AD">
        <w:rPr>
          <w:rFonts w:ascii="Verdana" w:hAnsi="Verdana"/>
          <w:sz w:val="20"/>
        </w:rPr>
        <w:t>. Ingen pasienter med mantel-cellesykdom reagerte.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fase III randomisert studium som sammenligner IDEC-Y2B8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(375 mg/m</w:t>
      </w:r>
      <w:r w:rsidRPr="002646AD">
        <w:rPr>
          <w:rFonts w:ascii="Verdana" w:hAnsi="Verdana"/>
          <w:sz w:val="20"/>
          <w:vertAlign w:val="superscript"/>
        </w:rPr>
        <w:t>2</w:t>
      </w:r>
      <w:r w:rsidRPr="002646AD">
        <w:rPr>
          <w:rFonts w:ascii="Verdana" w:hAnsi="Verdana"/>
          <w:sz w:val="20"/>
        </w:rPr>
        <w:t xml:space="preserve"> ukentlig ganger 4) for behandling av lavgrads follikulær eller transformert NHL-pasienter pågår. </w:t>
      </w:r>
      <w:proofErr w:type="gramStart"/>
      <w:r w:rsidRPr="002646AD">
        <w:rPr>
          <w:rFonts w:ascii="Verdana" w:hAnsi="Verdana"/>
          <w:sz w:val="20"/>
        </w:rPr>
        <w:t>Et</w:t>
      </w:r>
      <w:proofErr w:type="gramEnd"/>
      <w:r w:rsidRPr="002646AD">
        <w:rPr>
          <w:rFonts w:ascii="Verdana" w:hAnsi="Verdana"/>
          <w:sz w:val="20"/>
        </w:rPr>
        <w:t xml:space="preserve"> annen fase III-forsøk blir også utført i pasienter med tilbakefall NHL som er </w:t>
      </w:r>
      <w:proofErr w:type="spellStart"/>
      <w:r w:rsidRPr="002646AD">
        <w:rPr>
          <w:rFonts w:ascii="Verdana" w:hAnsi="Verdana"/>
          <w:sz w:val="20"/>
        </w:rPr>
        <w:t>refraktoriske</w:t>
      </w:r>
      <w:proofErr w:type="spellEnd"/>
      <w:r w:rsidRPr="002646AD">
        <w:rPr>
          <w:rFonts w:ascii="Verdana" w:hAnsi="Verdana"/>
          <w:sz w:val="20"/>
        </w:rPr>
        <w:t xml:space="preserve"> overfor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>.</w:t>
      </w:r>
    </w:p>
    <w:p w:rsidR="001003C4" w:rsidRPr="002646AD" w:rsidRDefault="001003C4">
      <w:pPr>
        <w:pStyle w:val="Overskrift1"/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Oppsummering</w:t>
      </w:r>
    </w:p>
    <w:p w:rsidR="001003C4" w:rsidRPr="002646AD" w:rsidRDefault="001003C4">
      <w:pPr>
        <w:rPr>
          <w:rFonts w:ascii="Verdana" w:hAnsi="Verdana"/>
          <w:sz w:val="20"/>
        </w:rPr>
      </w:pPr>
      <w:r w:rsidRPr="002646AD">
        <w:rPr>
          <w:rFonts w:ascii="Verdana" w:hAnsi="Verdana"/>
          <w:sz w:val="20"/>
        </w:rPr>
        <w:t>Ved fravær av helbredende terapi for NHL, er målet for behandling å oppnå kontroll av sykdommen for en meningsfull varighet og gir lettelse for tumor</w:t>
      </w:r>
      <w:r w:rsidR="002F1C3D">
        <w:rPr>
          <w:rFonts w:ascii="Verdana" w:hAnsi="Verdana"/>
          <w:sz w:val="20"/>
        </w:rPr>
        <w:t>-</w:t>
      </w:r>
      <w:r w:rsidRPr="002646AD">
        <w:rPr>
          <w:rFonts w:ascii="Verdana" w:hAnsi="Verdana"/>
          <w:sz w:val="20"/>
        </w:rPr>
        <w:t xml:space="preserve">relaterte symptomer uten urimelig toksisitet. Behandling med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er en kort, 22 dagers utepasient terapi med begrensede skadelige hen</w:t>
      </w:r>
      <w:r w:rsidRPr="002646AD">
        <w:rPr>
          <w:rFonts w:ascii="Verdana" w:hAnsi="Verdana"/>
          <w:sz w:val="20"/>
        </w:rPr>
        <w:softHyphen/>
        <w:t xml:space="preserve">delser hos de fleste pasienter. I kliniske studier oppnådd det </w:t>
      </w:r>
      <w:proofErr w:type="gramStart"/>
      <w:r w:rsidRPr="002646AD">
        <w:rPr>
          <w:rFonts w:ascii="Verdana" w:hAnsi="Verdana"/>
          <w:sz w:val="20"/>
        </w:rPr>
        <w:t>50%</w:t>
      </w:r>
      <w:proofErr w:type="gramEnd"/>
      <w:r w:rsidRPr="002646AD">
        <w:rPr>
          <w:rFonts w:ascii="Verdana" w:hAnsi="Verdana"/>
          <w:sz w:val="20"/>
        </w:rPr>
        <w:t xml:space="preserve"> av </w:t>
      </w:r>
      <w:proofErr w:type="spellStart"/>
      <w:r w:rsidRPr="002646AD">
        <w:rPr>
          <w:rFonts w:ascii="Verdana" w:hAnsi="Verdana"/>
          <w:sz w:val="20"/>
        </w:rPr>
        <w:t>vurderbare</w:t>
      </w:r>
      <w:proofErr w:type="spellEnd"/>
      <w:r w:rsidRPr="002646AD">
        <w:rPr>
          <w:rFonts w:ascii="Verdana" w:hAnsi="Verdana"/>
          <w:sz w:val="20"/>
        </w:rPr>
        <w:t xml:space="preserve"> </w:t>
      </w:r>
      <w:proofErr w:type="spellStart"/>
      <w:r w:rsidRPr="002646AD">
        <w:rPr>
          <w:rFonts w:ascii="Verdana" w:hAnsi="Verdana"/>
          <w:sz w:val="20"/>
        </w:rPr>
        <w:t>tilbakefalte</w:t>
      </w:r>
      <w:proofErr w:type="spellEnd"/>
      <w:r w:rsidRPr="002646AD">
        <w:rPr>
          <w:rFonts w:ascii="Verdana" w:hAnsi="Verdana"/>
          <w:sz w:val="20"/>
        </w:rPr>
        <w:t xml:space="preserve"> eller kjemoterapi </w:t>
      </w:r>
      <w:proofErr w:type="spellStart"/>
      <w:r w:rsidRPr="002646AD">
        <w:rPr>
          <w:rFonts w:ascii="Verdana" w:hAnsi="Verdana"/>
          <w:sz w:val="20"/>
        </w:rPr>
        <w:t>refraktoriske</w:t>
      </w:r>
      <w:proofErr w:type="spellEnd"/>
      <w:r w:rsidRPr="002646AD">
        <w:rPr>
          <w:rFonts w:ascii="Verdana" w:hAnsi="Verdana"/>
          <w:sz w:val="20"/>
        </w:rPr>
        <w:t xml:space="preserve"> lavgrads eller follikulære NHL-pasienter fullstendige eller delvis reaksjoner. Disse reaksjoner var varige uten opprettholdelsesterapi; hvor den midlere TTP for reagerende individer var 13,2 måneder og den midlere DR var 11,6 måneder i hovedstudie.</w:t>
      </w:r>
    </w:p>
    <w:p w:rsidR="001003C4" w:rsidRPr="002646AD" w:rsidRDefault="001003C4">
      <w:pPr>
        <w:rPr>
          <w:rFonts w:ascii="Verdana" w:hAnsi="Verdana"/>
          <w:sz w:val="20"/>
        </w:rPr>
      </w:pPr>
      <w:proofErr w:type="spellStart"/>
      <w:r w:rsidRPr="002646AD">
        <w:rPr>
          <w:rFonts w:ascii="Verdana" w:hAnsi="Verdana"/>
          <w:sz w:val="20"/>
        </w:rPr>
        <w:lastRenderedPageBreak/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er godkjent som en sikker og effektiv behandling for pasienter med </w:t>
      </w:r>
      <w:proofErr w:type="spellStart"/>
      <w:r w:rsidRPr="002646AD">
        <w:rPr>
          <w:rFonts w:ascii="Verdana" w:hAnsi="Verdana"/>
          <w:sz w:val="20"/>
        </w:rPr>
        <w:t>tilbakefalt</w:t>
      </w:r>
      <w:proofErr w:type="spellEnd"/>
      <w:r w:rsidRPr="002646AD">
        <w:rPr>
          <w:rFonts w:ascii="Verdana" w:hAnsi="Verdana"/>
          <w:sz w:val="20"/>
        </w:rPr>
        <w:t xml:space="preserve"> lavgrads eller follikulær B-celle-NHL. Den har vesentlig klinisk aktivitet, en ny virkningsmekanisme og kan gunstig sammenlignes med alterna</w:t>
      </w:r>
      <w:r w:rsidRPr="002646AD">
        <w:rPr>
          <w:rFonts w:ascii="Verdana" w:hAnsi="Verdana"/>
          <w:sz w:val="20"/>
        </w:rPr>
        <w:softHyphen/>
        <w:t xml:space="preserve">tive terapier i responsgrad og responsvarighet. Avslutning av pågående studier vil bekrefte rollen av alternative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-regimer og </w:t>
      </w:r>
      <w:proofErr w:type="spellStart"/>
      <w:r w:rsidRPr="002646AD">
        <w:rPr>
          <w:rFonts w:ascii="Verdana" w:hAnsi="Verdana"/>
          <w:sz w:val="20"/>
        </w:rPr>
        <w:t>Rituximab</w:t>
      </w:r>
      <w:proofErr w:type="spellEnd"/>
      <w:r w:rsidRPr="002646AD">
        <w:rPr>
          <w:rFonts w:ascii="Verdana" w:hAnsi="Verdana"/>
          <w:sz w:val="20"/>
          <w:vertAlign w:val="superscript"/>
        </w:rPr>
        <w:sym w:font="Symbol" w:char="F0E2"/>
      </w:r>
      <w:r w:rsidRPr="002646AD">
        <w:rPr>
          <w:rFonts w:ascii="Verdana" w:hAnsi="Verdana"/>
          <w:sz w:val="20"/>
        </w:rPr>
        <w:t xml:space="preserve"> ved behandlingen av andre CD20+B-lymfocyttsykdommer.</w:t>
      </w:r>
    </w:p>
    <w:p w:rsidR="0004592A" w:rsidRDefault="0004592A">
      <w:pPr>
        <w:spacing w:after="0" w:line="240" w:lineRule="auto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sz w:val="20"/>
          <w:lang w:val="en-US"/>
        </w:rPr>
        <w:br w:type="page"/>
      </w:r>
    </w:p>
    <w:p w:rsidR="001003C4" w:rsidRDefault="001003C4">
      <w:pPr>
        <w:pStyle w:val="Overskrift4"/>
        <w:rPr>
          <w:rFonts w:ascii="Verdana" w:hAnsi="Verdana"/>
          <w:sz w:val="20"/>
          <w:lang w:val="en-US"/>
        </w:rPr>
      </w:pPr>
      <w:proofErr w:type="spellStart"/>
      <w:r w:rsidRPr="002646AD">
        <w:rPr>
          <w:rFonts w:ascii="Verdana" w:hAnsi="Verdana"/>
          <w:sz w:val="20"/>
          <w:lang w:val="en-US"/>
        </w:rPr>
        <w:lastRenderedPageBreak/>
        <w:t>Referanser</w:t>
      </w:r>
      <w:proofErr w:type="spellEnd"/>
    </w:p>
    <w:p w:rsidR="002B795F" w:rsidRDefault="002B795F" w:rsidP="0004592A">
      <w:pPr>
        <w:pStyle w:val="Bilde"/>
        <w:rPr>
          <w:lang w:val="en-US"/>
        </w:rPr>
      </w:pPr>
      <w:r>
        <w:rPr>
          <w:noProof/>
        </w:rPr>
        <w:drawing>
          <wp:inline distT="0" distB="0" distL="0" distR="0" wp14:anchorId="3B7778A6" wp14:editId="715C3D76">
            <wp:extent cx="5400040" cy="7443517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95F" w:rsidRDefault="002B795F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607B79" w:rsidRDefault="00607B79" w:rsidP="0004592A">
      <w:pPr>
        <w:pStyle w:val="Bilde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E8EFAF4" wp14:editId="3909D9BC">
            <wp:extent cx="5400040" cy="7758366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5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79" w:rsidRDefault="00607B79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B0565D" w:rsidRDefault="00B0565D" w:rsidP="0004592A">
      <w:pPr>
        <w:pStyle w:val="Bilde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F776542" wp14:editId="420E2413">
            <wp:extent cx="5400040" cy="7903772"/>
            <wp:effectExtent l="0" t="0" r="0" b="254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0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5D" w:rsidRDefault="00B0565D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04592A" w:rsidRDefault="00480291" w:rsidP="0004592A">
      <w:pPr>
        <w:pStyle w:val="Bilde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8A0E0F9" wp14:editId="2EE396BC">
            <wp:extent cx="5400040" cy="804234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4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91" w:rsidRDefault="00480291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D05CA5" w:rsidRDefault="00D05CA5" w:rsidP="00480291">
      <w:pPr>
        <w:pStyle w:val="Bilde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BB88BF4" wp14:editId="084B83A1">
            <wp:extent cx="5400040" cy="7533296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A5" w:rsidRDefault="00D05CA5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9C76B9" w:rsidRDefault="009C76B9" w:rsidP="00480291">
      <w:pPr>
        <w:pStyle w:val="Bilde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FF6B976" wp14:editId="38E0CF85">
            <wp:extent cx="5400040" cy="7838496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3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B9" w:rsidRDefault="009C76B9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6C4F4B" w:rsidRDefault="006C4F4B" w:rsidP="00480291">
      <w:pPr>
        <w:pStyle w:val="Bilde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3404B61" wp14:editId="5FCC4DD3">
            <wp:extent cx="5400040" cy="7607552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0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4B" w:rsidRDefault="006C4F4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784380" w:rsidRDefault="00784380" w:rsidP="00480291">
      <w:pPr>
        <w:pStyle w:val="Bilde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863B272" wp14:editId="09723B24">
            <wp:extent cx="5400040" cy="7280811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8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80" w:rsidRDefault="00784380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D3448A" w:rsidRDefault="009D73A2" w:rsidP="00480291">
      <w:pPr>
        <w:pStyle w:val="Bilde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775D2DC" wp14:editId="4E26EB6E">
            <wp:extent cx="5400040" cy="1923302"/>
            <wp:effectExtent l="0" t="0" r="0" b="127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48A" w:rsidRDefault="00D3448A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1F08C0" w:rsidRPr="001F08C0" w:rsidRDefault="001F08C0" w:rsidP="001F08C0">
      <w:pPr>
        <w:keepNext/>
        <w:jc w:val="center"/>
        <w:outlineLvl w:val="4"/>
        <w:rPr>
          <w:rFonts w:ascii="Verdana" w:hAnsi="Verdana"/>
          <w:b/>
          <w:sz w:val="20"/>
        </w:rPr>
      </w:pPr>
      <w:r w:rsidRPr="001F08C0">
        <w:rPr>
          <w:rFonts w:ascii="Verdana" w:hAnsi="Verdana"/>
          <w:b/>
          <w:sz w:val="20"/>
        </w:rPr>
        <w:lastRenderedPageBreak/>
        <w:t>P a t e n t k r a v</w:t>
      </w:r>
    </w:p>
    <w:p w:rsidR="001F08C0" w:rsidRPr="001F08C0" w:rsidRDefault="001F08C0" w:rsidP="001F08C0">
      <w:pPr>
        <w:rPr>
          <w:rFonts w:ascii="Verdana" w:hAnsi="Verdana"/>
          <w:sz w:val="20"/>
        </w:rPr>
      </w:pPr>
      <w:r w:rsidRPr="001F08C0">
        <w:rPr>
          <w:rFonts w:ascii="Verdana" w:hAnsi="Verdana"/>
          <w:sz w:val="20"/>
        </w:rPr>
        <w:t>1.</w:t>
      </w:r>
      <w:r w:rsidRPr="001F08C0">
        <w:rPr>
          <w:rFonts w:ascii="Verdana" w:hAnsi="Verdana"/>
          <w:sz w:val="20"/>
        </w:rPr>
        <w:tab/>
        <w:t xml:space="preserve">Anvendelse av genetisk manipulert </w:t>
      </w:r>
      <w:proofErr w:type="spellStart"/>
      <w:r w:rsidRPr="001F08C0">
        <w:rPr>
          <w:rFonts w:ascii="Verdana" w:hAnsi="Verdana"/>
          <w:sz w:val="20"/>
        </w:rPr>
        <w:t>kimerisk</w:t>
      </w:r>
      <w:proofErr w:type="spellEnd"/>
      <w:r w:rsidRPr="001F08C0">
        <w:rPr>
          <w:rFonts w:ascii="Verdana" w:hAnsi="Verdana"/>
          <w:sz w:val="20"/>
        </w:rPr>
        <w:t xml:space="preserve"> monoklonalt antistoff med </w:t>
      </w:r>
      <w:proofErr w:type="spellStart"/>
      <w:r w:rsidRPr="001F08C0">
        <w:rPr>
          <w:rFonts w:ascii="Verdana" w:hAnsi="Verdana"/>
          <w:sz w:val="20"/>
        </w:rPr>
        <w:t>murine</w:t>
      </w:r>
      <w:proofErr w:type="spellEnd"/>
      <w:r w:rsidRPr="001F08C0">
        <w:rPr>
          <w:rFonts w:ascii="Verdana" w:hAnsi="Verdana"/>
          <w:sz w:val="20"/>
        </w:rPr>
        <w:t xml:space="preserve"> lette- og tungkjedete variable områder og humane gamma I tungkjede og kappa lettkjede konstante områder, hvor det </w:t>
      </w:r>
      <w:proofErr w:type="spellStart"/>
      <w:r w:rsidRPr="001F08C0">
        <w:rPr>
          <w:rFonts w:ascii="Verdana" w:hAnsi="Verdana"/>
          <w:sz w:val="20"/>
        </w:rPr>
        <w:t>kimeriske</w:t>
      </w:r>
      <w:proofErr w:type="spellEnd"/>
      <w:r w:rsidRPr="001F08C0">
        <w:rPr>
          <w:rFonts w:ascii="Verdana" w:hAnsi="Verdana"/>
          <w:sz w:val="20"/>
        </w:rPr>
        <w:t xml:space="preserve"> antistoffet består av 2 tunge kjeder på 451 aminosyrer og 2 letter kjeder på 213 aminosyrer og har en omtrentlig molekylvekt på 145 </w:t>
      </w:r>
      <w:proofErr w:type="spellStart"/>
      <w:r w:rsidRPr="001F08C0">
        <w:rPr>
          <w:rFonts w:ascii="Verdana" w:hAnsi="Verdana"/>
          <w:sz w:val="20"/>
        </w:rPr>
        <w:t>kD</w:t>
      </w:r>
      <w:proofErr w:type="spellEnd"/>
      <w:r w:rsidRPr="001F08C0">
        <w:rPr>
          <w:rFonts w:ascii="Verdana" w:hAnsi="Verdana"/>
          <w:sz w:val="20"/>
        </w:rPr>
        <w:t xml:space="preserve"> (“</w:t>
      </w:r>
      <w:proofErr w:type="spellStart"/>
      <w:r w:rsidRPr="001F08C0">
        <w:rPr>
          <w:rFonts w:ascii="Verdana" w:hAnsi="Verdana"/>
          <w:sz w:val="20"/>
        </w:rPr>
        <w:t>rituximab</w:t>
      </w:r>
      <w:proofErr w:type="spellEnd"/>
      <w:r w:rsidRPr="001F08C0">
        <w:rPr>
          <w:rFonts w:ascii="Verdana" w:hAnsi="Verdana"/>
          <w:sz w:val="20"/>
        </w:rPr>
        <w:t xml:space="preserve">”) for </w:t>
      </w:r>
      <w:proofErr w:type="spellStart"/>
      <w:r w:rsidRPr="001F08C0">
        <w:rPr>
          <w:rFonts w:ascii="Verdana" w:hAnsi="Verdana"/>
          <w:sz w:val="20"/>
        </w:rPr>
        <w:t>fremstiling</w:t>
      </w:r>
      <w:proofErr w:type="spellEnd"/>
      <w:r w:rsidRPr="001F08C0">
        <w:rPr>
          <w:rFonts w:ascii="Verdana" w:hAnsi="Verdana"/>
          <w:sz w:val="20"/>
        </w:rPr>
        <w:t xml:space="preserve"> av et medika</w:t>
      </w:r>
      <w:r w:rsidRPr="001F08C0">
        <w:rPr>
          <w:rFonts w:ascii="Verdana" w:hAnsi="Verdana"/>
          <w:sz w:val="20"/>
        </w:rPr>
        <w:softHyphen/>
        <w:t>ment for opprettholdelsesterapi for lav-grads follikulært B-celle non-</w:t>
      </w:r>
      <w:proofErr w:type="spellStart"/>
      <w:r w:rsidRPr="001F08C0">
        <w:rPr>
          <w:rFonts w:ascii="Verdana" w:hAnsi="Verdana"/>
          <w:sz w:val="20"/>
        </w:rPr>
        <w:t>Hodgkins</w:t>
      </w:r>
      <w:proofErr w:type="spellEnd"/>
      <w:r w:rsidRPr="001F08C0">
        <w:rPr>
          <w:rFonts w:ascii="Verdana" w:hAnsi="Verdana"/>
          <w:sz w:val="20"/>
        </w:rPr>
        <w:t xml:space="preserve"> </w:t>
      </w:r>
      <w:proofErr w:type="spellStart"/>
      <w:r w:rsidRPr="001F08C0">
        <w:rPr>
          <w:rFonts w:ascii="Verdana" w:hAnsi="Verdana"/>
          <w:sz w:val="20"/>
        </w:rPr>
        <w:t>lymform</w:t>
      </w:r>
      <w:proofErr w:type="spellEnd"/>
      <w:r w:rsidRPr="001F08C0">
        <w:rPr>
          <w:rFonts w:ascii="Verdana" w:hAnsi="Verdana"/>
          <w:sz w:val="20"/>
        </w:rPr>
        <w:t xml:space="preserve"> hos en menneskepasient hvor pasienten har mottatt </w:t>
      </w:r>
      <w:proofErr w:type="spellStart"/>
      <w:r w:rsidRPr="001F08C0">
        <w:rPr>
          <w:rFonts w:ascii="Verdana" w:hAnsi="Verdana"/>
          <w:sz w:val="20"/>
        </w:rPr>
        <w:t>cyklofosfamid</w:t>
      </w:r>
      <w:proofErr w:type="spellEnd"/>
      <w:r w:rsidRPr="001F08C0">
        <w:rPr>
          <w:rFonts w:ascii="Verdana" w:hAnsi="Verdana"/>
          <w:sz w:val="20"/>
        </w:rPr>
        <w:t xml:space="preserve">, </w:t>
      </w:r>
      <w:proofErr w:type="spellStart"/>
      <w:r w:rsidRPr="001F08C0">
        <w:rPr>
          <w:rFonts w:ascii="Verdana" w:hAnsi="Verdana"/>
          <w:sz w:val="20"/>
        </w:rPr>
        <w:t>vincristine</w:t>
      </w:r>
      <w:proofErr w:type="spellEnd"/>
      <w:r w:rsidRPr="001F08C0">
        <w:rPr>
          <w:rFonts w:ascii="Verdana" w:hAnsi="Verdana"/>
          <w:sz w:val="20"/>
        </w:rPr>
        <w:t xml:space="preserve">, </w:t>
      </w:r>
      <w:proofErr w:type="spellStart"/>
      <w:r w:rsidRPr="001F08C0">
        <w:rPr>
          <w:rFonts w:ascii="Verdana" w:hAnsi="Verdana"/>
          <w:sz w:val="20"/>
        </w:rPr>
        <w:t>prednison</w:t>
      </w:r>
      <w:proofErr w:type="spellEnd"/>
      <w:r w:rsidRPr="001F08C0">
        <w:rPr>
          <w:rFonts w:ascii="Verdana" w:hAnsi="Verdana"/>
          <w:sz w:val="20"/>
        </w:rPr>
        <w:t xml:space="preserve"> (CVP) kjemoterapi før </w:t>
      </w:r>
      <w:proofErr w:type="spellStart"/>
      <w:r w:rsidRPr="001F08C0">
        <w:rPr>
          <w:rFonts w:ascii="Verdana" w:hAnsi="Verdana"/>
          <w:sz w:val="20"/>
        </w:rPr>
        <w:t>rituximab</w:t>
      </w:r>
      <w:proofErr w:type="spellEnd"/>
      <w:r w:rsidRPr="001F08C0">
        <w:rPr>
          <w:rFonts w:ascii="Verdana" w:hAnsi="Verdana"/>
          <w:sz w:val="20"/>
        </w:rPr>
        <w:t xml:space="preserve"> opprettholdelsesterapi, hvor hver administrasjon av </w:t>
      </w:r>
      <w:proofErr w:type="spellStart"/>
      <w:r w:rsidRPr="001F08C0">
        <w:rPr>
          <w:rFonts w:ascii="Verdana" w:hAnsi="Verdana"/>
          <w:sz w:val="20"/>
        </w:rPr>
        <w:t>rituximab</w:t>
      </w:r>
      <w:proofErr w:type="spellEnd"/>
      <w:r w:rsidRPr="001F08C0">
        <w:rPr>
          <w:rFonts w:ascii="Verdana" w:hAnsi="Verdana"/>
          <w:sz w:val="20"/>
        </w:rPr>
        <w:t xml:space="preserve"> foregår ved </w:t>
      </w:r>
      <w:proofErr w:type="spellStart"/>
      <w:r w:rsidRPr="001F08C0">
        <w:rPr>
          <w:rFonts w:ascii="Verdana" w:hAnsi="Verdana"/>
          <w:sz w:val="20"/>
        </w:rPr>
        <w:t>ebn</w:t>
      </w:r>
      <w:proofErr w:type="spellEnd"/>
      <w:r w:rsidRPr="001F08C0">
        <w:rPr>
          <w:rFonts w:ascii="Verdana" w:hAnsi="Verdana"/>
          <w:sz w:val="20"/>
        </w:rPr>
        <w:t xml:space="preserve"> dose på 375 mg/m</w:t>
      </w:r>
      <w:r w:rsidRPr="001F08C0">
        <w:rPr>
          <w:rFonts w:ascii="Verdana" w:hAnsi="Verdana"/>
          <w:sz w:val="20"/>
          <w:vertAlign w:val="superscript"/>
        </w:rPr>
        <w:t>2</w:t>
      </w:r>
      <w:r w:rsidRPr="001F08C0">
        <w:rPr>
          <w:rFonts w:ascii="Verdana" w:hAnsi="Verdana"/>
          <w:sz w:val="20"/>
        </w:rPr>
        <w:t xml:space="preserve"> og hvor </w:t>
      </w:r>
      <w:proofErr w:type="spellStart"/>
      <w:r w:rsidRPr="001F08C0">
        <w:rPr>
          <w:rFonts w:ascii="Verdana" w:hAnsi="Verdana"/>
          <w:sz w:val="20"/>
        </w:rPr>
        <w:t>rituximab</w:t>
      </w:r>
      <w:proofErr w:type="spellEnd"/>
      <w:r w:rsidRPr="001F08C0">
        <w:rPr>
          <w:rFonts w:ascii="Verdana" w:hAnsi="Verdana"/>
          <w:sz w:val="20"/>
        </w:rPr>
        <w:t xml:space="preserve"> opprettholdelsesterapi blir gitt over 2 år.</w:t>
      </w:r>
    </w:p>
    <w:p w:rsidR="001F08C0" w:rsidRPr="001F08C0" w:rsidRDefault="001F08C0" w:rsidP="001F08C0">
      <w:pPr>
        <w:rPr>
          <w:rFonts w:ascii="Verdana" w:hAnsi="Verdana"/>
          <w:sz w:val="20"/>
        </w:rPr>
      </w:pPr>
      <w:r w:rsidRPr="001F08C0">
        <w:rPr>
          <w:rFonts w:ascii="Verdana" w:hAnsi="Verdana"/>
          <w:sz w:val="20"/>
        </w:rPr>
        <w:t>2.</w:t>
      </w:r>
      <w:r w:rsidRPr="001F08C0">
        <w:rPr>
          <w:rFonts w:ascii="Verdana" w:hAnsi="Verdana"/>
          <w:sz w:val="20"/>
        </w:rPr>
        <w:tab/>
        <w:t>Anvendelse ifølge krav 1, hvor pasienten oppviser en reaksjon på CVP-terapien.</w:t>
      </w:r>
    </w:p>
    <w:p w:rsidR="00480291" w:rsidRPr="001F08C0" w:rsidRDefault="00480291" w:rsidP="00D3448A">
      <w:pPr>
        <w:rPr>
          <w:rFonts w:ascii="Verdana" w:hAnsi="Verdana" w:cs="Arial"/>
          <w:sz w:val="20"/>
        </w:rPr>
      </w:pPr>
      <w:bookmarkStart w:id="0" w:name="_GoBack"/>
      <w:bookmarkEnd w:id="0"/>
    </w:p>
    <w:sectPr w:rsidR="00480291" w:rsidRPr="001F08C0" w:rsidSect="0004592A">
      <w:headerReference w:type="default" r:id="rId18"/>
      <w:pgSz w:w="11907" w:h="16840" w:code="9"/>
      <w:pgMar w:top="1701" w:right="1418" w:bottom="1418" w:left="1985" w:header="709" w:footer="709" w:gutter="0"/>
      <w:lnNumType w:countBy="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C4" w:rsidRDefault="001003C4">
      <w:pPr>
        <w:spacing w:after="0" w:line="240" w:lineRule="auto"/>
      </w:pPr>
      <w:r>
        <w:separator/>
      </w:r>
    </w:p>
  </w:endnote>
  <w:endnote w:type="continuationSeparator" w:id="0">
    <w:p w:rsidR="001003C4" w:rsidRDefault="001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(W1)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C4" w:rsidRDefault="001003C4">
      <w:pPr>
        <w:spacing w:after="0" w:line="240" w:lineRule="auto"/>
      </w:pPr>
      <w:r>
        <w:separator/>
      </w:r>
    </w:p>
  </w:footnote>
  <w:footnote w:type="continuationSeparator" w:id="0">
    <w:p w:rsidR="001003C4" w:rsidRDefault="001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C4" w:rsidRDefault="001003C4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1003C4" w:rsidRDefault="001003C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C4" w:rsidRDefault="001003C4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F08C0">
      <w:rPr>
        <w:rStyle w:val="Sidetall"/>
        <w:noProof/>
      </w:rPr>
      <w:t>11</w:t>
    </w:r>
    <w:r>
      <w:rPr>
        <w:rStyle w:val="Sidetall"/>
      </w:rPr>
      <w:fldChar w:fldCharType="end"/>
    </w:r>
  </w:p>
  <w:p w:rsidR="001003C4" w:rsidRDefault="001003C4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C4" w:rsidRDefault="001003C4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F08C0">
      <w:rPr>
        <w:rStyle w:val="Sidetall"/>
        <w:noProof/>
      </w:rPr>
      <w:t>37</w:t>
    </w:r>
    <w:r>
      <w:rPr>
        <w:rStyle w:val="Sidetall"/>
      </w:rPr>
      <w:fldChar w:fldCharType="end"/>
    </w:r>
  </w:p>
  <w:p w:rsidR="001003C4" w:rsidRDefault="001003C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D"/>
    <w:rsid w:val="0004592A"/>
    <w:rsid w:val="001003C4"/>
    <w:rsid w:val="0013190E"/>
    <w:rsid w:val="001A5E22"/>
    <w:rsid w:val="001F08C0"/>
    <w:rsid w:val="002646AD"/>
    <w:rsid w:val="002B795F"/>
    <w:rsid w:val="002F1C3D"/>
    <w:rsid w:val="00476F13"/>
    <w:rsid w:val="00480291"/>
    <w:rsid w:val="004A54D5"/>
    <w:rsid w:val="00546852"/>
    <w:rsid w:val="00607B79"/>
    <w:rsid w:val="006C4F4B"/>
    <w:rsid w:val="00784380"/>
    <w:rsid w:val="008147BE"/>
    <w:rsid w:val="00893FE2"/>
    <w:rsid w:val="009C76B9"/>
    <w:rsid w:val="009D73A2"/>
    <w:rsid w:val="009E4E73"/>
    <w:rsid w:val="00AF385E"/>
    <w:rsid w:val="00B0565D"/>
    <w:rsid w:val="00D05CA5"/>
    <w:rsid w:val="00D3448A"/>
    <w:rsid w:val="00F6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60" w:line="360" w:lineRule="exact"/>
    </w:pPr>
    <w:rPr>
      <w:rFonts w:ascii="Courier (W1)" w:hAnsi="Courier (W1)"/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outlineLvl w:val="0"/>
    </w:pPr>
    <w:rPr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keepLines/>
      <w:spacing w:after="0"/>
      <w:jc w:val="center"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keepNext/>
      <w:spacing w:after="0"/>
      <w:ind w:left="709" w:hanging="709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semiHidden/>
    <w:rPr>
      <w:sz w:val="1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</w:pPr>
  </w:style>
  <w:style w:type="character" w:styleId="Sidetall">
    <w:name w:val="page number"/>
    <w:basedOn w:val="Standardskriftforavsnitt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ilde">
    <w:name w:val="Bilde"/>
    <w:basedOn w:val="Normal"/>
    <w:next w:val="Normal"/>
    <w:pPr>
      <w:spacing w:line="240" w:lineRule="auto"/>
      <w:jc w:val="center"/>
    </w:pPr>
  </w:style>
  <w:style w:type="paragraph" w:customStyle="1" w:styleId="tabell">
    <w:name w:val="tabell"/>
    <w:basedOn w:val="Normal"/>
    <w:pPr>
      <w:spacing w:before="40" w:after="40" w:line="240" w:lineRule="exact"/>
      <w:jc w:val="center"/>
    </w:pPr>
    <w:rPr>
      <w:color w:val="000000"/>
    </w:rPr>
  </w:style>
  <w:style w:type="paragraph" w:styleId="Brdtekst">
    <w:name w:val="Body Text"/>
    <w:basedOn w:val="Normal"/>
    <w:semiHidden/>
    <w:rPr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60" w:line="360" w:lineRule="exact"/>
    </w:pPr>
    <w:rPr>
      <w:rFonts w:ascii="Courier (W1)" w:hAnsi="Courier (W1)"/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outlineLvl w:val="0"/>
    </w:pPr>
    <w:rPr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keepLines/>
      <w:spacing w:after="0"/>
      <w:jc w:val="center"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keepNext/>
      <w:spacing w:after="0"/>
      <w:ind w:left="709" w:hanging="709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semiHidden/>
    <w:rPr>
      <w:sz w:val="1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</w:pPr>
  </w:style>
  <w:style w:type="character" w:styleId="Sidetall">
    <w:name w:val="page number"/>
    <w:basedOn w:val="Standardskriftforavsnitt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ilde">
    <w:name w:val="Bilde"/>
    <w:basedOn w:val="Normal"/>
    <w:next w:val="Normal"/>
    <w:pPr>
      <w:spacing w:line="240" w:lineRule="auto"/>
      <w:jc w:val="center"/>
    </w:pPr>
  </w:style>
  <w:style w:type="paragraph" w:customStyle="1" w:styleId="tabell">
    <w:name w:val="tabell"/>
    <w:basedOn w:val="Normal"/>
    <w:pPr>
      <w:spacing w:before="40" w:after="40" w:line="240" w:lineRule="exact"/>
      <w:jc w:val="center"/>
    </w:pPr>
    <w:rPr>
      <w:color w:val="000000"/>
    </w:rPr>
  </w:style>
  <w:style w:type="paragraph" w:styleId="Brdtekst">
    <w:name w:val="Body Text"/>
    <w:basedOn w:val="Normal"/>
    <w:semiHidden/>
    <w:rPr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37</Pages>
  <Words>8390</Words>
  <Characters>52447</Characters>
  <Application>Microsoft Office Word</Application>
  <DocSecurity>0</DocSecurity>
  <Lines>437</Lines>
  <Paragraphs>121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Avhengig av den tiltenkte bruk for antistoffet, dvs</vt:lpstr>
      <vt:lpstr>Avhengig av den tiltenkte bruk for antistoffet, dvs</vt:lpstr>
    </vt:vector>
  </TitlesOfParts>
  <Company>Oslo Patentkontor AS</Company>
  <LinksUpToDate>false</LinksUpToDate>
  <CharactersWithSpaces>60716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Avhengig av den tiltenkte bruk for antistoffet, dvs</dc:title>
  <dc:subject/>
  <dc:creator>Kathy Gout</dc:creator>
  <cp:keywords/>
  <cp:lastModifiedBy>Kathy Gout</cp:lastModifiedBy>
  <cp:revision>25</cp:revision>
  <cp:lastPrinted>2001-04-10T08:13:00Z</cp:lastPrinted>
  <dcterms:created xsi:type="dcterms:W3CDTF">2012-08-30T08:28:00Z</dcterms:created>
  <dcterms:modified xsi:type="dcterms:W3CDTF">2012-08-30T09:16:00Z</dcterms:modified>
</cp:coreProperties>
</file>